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CC8D3" w14:textId="77777777" w:rsidR="009821AC" w:rsidRPr="00677762" w:rsidRDefault="009821AC" w:rsidP="009821AC">
      <w:pPr>
        <w:spacing w:before="120" w:line="300" w:lineRule="auto"/>
        <w:jc w:val="center"/>
        <w:rPr>
          <w:rFonts w:ascii="Calibri" w:hAnsi="Calibri" w:cs="Arial"/>
          <w:b/>
          <w:bCs/>
          <w:snapToGrid w:val="0"/>
          <w:sz w:val="28"/>
          <w:szCs w:val="28"/>
          <w:lang w:val="es-MX"/>
        </w:rPr>
      </w:pPr>
      <w:r w:rsidRPr="00677762">
        <w:rPr>
          <w:rFonts w:ascii="Calibri" w:hAnsi="Calibri" w:cs="Arial"/>
          <w:b/>
          <w:bCs/>
          <w:snapToGrid w:val="0"/>
          <w:sz w:val="28"/>
          <w:szCs w:val="28"/>
          <w:lang w:val="es-MX"/>
        </w:rPr>
        <w:t>PRESUPUESTO DEL EJERCICIO 20</w:t>
      </w:r>
      <w:r w:rsidR="00C50E4E">
        <w:rPr>
          <w:rFonts w:ascii="Calibri" w:hAnsi="Calibri" w:cs="Arial"/>
          <w:b/>
          <w:bCs/>
          <w:snapToGrid w:val="0"/>
          <w:sz w:val="28"/>
          <w:szCs w:val="28"/>
          <w:lang w:val="es-MX"/>
        </w:rPr>
        <w:t>21</w:t>
      </w:r>
      <w:r w:rsidRPr="00677762">
        <w:rPr>
          <w:rFonts w:ascii="Calibri" w:hAnsi="Calibri" w:cs="Arial"/>
          <w:b/>
          <w:bCs/>
          <w:snapToGrid w:val="0"/>
          <w:sz w:val="28"/>
          <w:szCs w:val="28"/>
          <w:lang w:val="es-MX"/>
        </w:rPr>
        <w:t>.</w:t>
      </w:r>
    </w:p>
    <w:p w14:paraId="0D3113FB" w14:textId="77777777" w:rsidR="009821AC" w:rsidRDefault="009821AC" w:rsidP="009821AC">
      <w:pPr>
        <w:spacing w:before="120" w:line="300" w:lineRule="auto"/>
        <w:jc w:val="both"/>
        <w:rPr>
          <w:rFonts w:ascii="Calibri" w:hAnsi="Calibri" w:cs="Arial"/>
          <w:b/>
          <w:bCs/>
          <w:snapToGrid w:val="0"/>
          <w:sz w:val="28"/>
          <w:szCs w:val="28"/>
          <w:lang w:val="es-MX"/>
        </w:rPr>
      </w:pPr>
    </w:p>
    <w:p w14:paraId="2ED8490B" w14:textId="77777777" w:rsidR="009821AC" w:rsidRDefault="009821AC" w:rsidP="009821AC">
      <w:pPr>
        <w:spacing w:before="120" w:line="300" w:lineRule="auto"/>
        <w:jc w:val="both"/>
        <w:rPr>
          <w:rFonts w:ascii="Calibri" w:hAnsi="Calibri" w:cs="Arial"/>
          <w:b/>
          <w:bCs/>
          <w:sz w:val="28"/>
          <w:szCs w:val="28"/>
        </w:rPr>
      </w:pPr>
      <w:r w:rsidRPr="000E444A">
        <w:rPr>
          <w:rFonts w:ascii="Calibri" w:hAnsi="Calibri" w:cs="Arial"/>
          <w:b/>
          <w:bCs/>
          <w:snapToGrid w:val="0"/>
          <w:sz w:val="28"/>
          <w:szCs w:val="28"/>
          <w:lang w:val="es-MX"/>
        </w:rPr>
        <w:t xml:space="preserve">1. </w:t>
      </w:r>
      <w:r w:rsidRPr="000E444A">
        <w:rPr>
          <w:rFonts w:ascii="Calibri" w:hAnsi="Calibri" w:cs="Arial"/>
          <w:b/>
          <w:bCs/>
          <w:sz w:val="28"/>
          <w:szCs w:val="28"/>
        </w:rPr>
        <w:t>MEMORIA.</w:t>
      </w:r>
    </w:p>
    <w:p w14:paraId="3A770210"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 xml:space="preserve">La presente Memoria se confecciona cumpliendo el mandato que se contempla en el artículo 168.1.a) del Real Decreto Legislativo 2/2004, de 5 de marzo, por el que se aprueba el Texto Refundido de la Ley Reguladora de las Haciendas Locales, y en el 18.1.a) del Real Decreto 500/1990, de 20 de abril, por el que se desarrolla dicha Ley en materia presupuestaria, así como la Ley Orgánica 2/2012, de 27 de abril, de Estabilidad Presupuestaria y Sostenibilidad Financiera. </w:t>
      </w:r>
    </w:p>
    <w:p w14:paraId="0296FC34"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La situación actual de crisis provocada por el Covid-19 ha obligado a que el Presupuesto para 2021 esté basado en la contención del gasto. Por ello, se presenta un Presupuesto con un incremento total de un 2,42% con respecto al ejercicio 2020. El importante aumento del gasto de personal, un 4,49%, es compensado, en parte, por la disminución en el gasto de inversión, 24,43%.</w:t>
      </w:r>
    </w:p>
    <w:p w14:paraId="755608F1"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Igual que en los ejercicios anteriores, el Presupuesto anual del Consorcio de Prevención, Extinción y Salvamento de la Isla de Tenerife viene condicionado por el Acuerdo de fin de huelga del 2017, en el que se recogía, entre otros puntos, la apertura de nuevos parques de bomberos para la zona sur y suroeste de la isla, que implicasen una mayor seguridad en la isla, al poder disminuir los tiempos de respuesta a las emergencias.</w:t>
      </w:r>
    </w:p>
    <w:p w14:paraId="00A1EC49"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 xml:space="preserve">A pesar de que la nave en la que se prevé abrir el nuevo Parque de Bomberos de Güímar fue adquirida a finales de 2018, su apertura no se ha podido realizar en el plazo inicialmente previsto. Las obras de acondicionamiento de la nave ya han comenzado previéndose que sea pasada la mitad del 2021 cuando se pueda poner en funcionamiento. </w:t>
      </w:r>
    </w:p>
    <w:p w14:paraId="5EF251C2"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Actualmente, la dotación mínima diaria del Consorcio continúa siendo de 44 bomberos, aumentándose a 48 en el momento en que el nuevo Parque de Güímar comience a funcionar.</w:t>
      </w:r>
    </w:p>
    <w:p w14:paraId="113763E3" w14:textId="77777777" w:rsidR="00A20480" w:rsidRDefault="00A20480" w:rsidP="00A20480">
      <w:pPr>
        <w:spacing w:before="120" w:line="300" w:lineRule="auto"/>
        <w:ind w:firstLine="708"/>
        <w:jc w:val="both"/>
        <w:rPr>
          <w:rFonts w:ascii="Calibri" w:hAnsi="Calibri" w:cs="Arial"/>
          <w:bCs/>
          <w:sz w:val="22"/>
          <w:szCs w:val="22"/>
        </w:rPr>
      </w:pPr>
    </w:p>
    <w:p w14:paraId="14FFA354"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 xml:space="preserve">El Presupuesto para el ejercicio 2021 se cifra en 20.308.016,64 euros, lo que supone un incremento de 480.201,12 euros con respecto al del ejercicio anterior. </w:t>
      </w:r>
    </w:p>
    <w:p w14:paraId="2E299945" w14:textId="77777777" w:rsidR="00A20480" w:rsidRDefault="00A20480" w:rsidP="00A20480">
      <w:pPr>
        <w:spacing w:before="120" w:line="300" w:lineRule="auto"/>
        <w:ind w:firstLine="708"/>
        <w:jc w:val="both"/>
        <w:rPr>
          <w:rFonts w:ascii="Calibri" w:hAnsi="Calibri" w:cs="Arial"/>
          <w:bCs/>
          <w:sz w:val="22"/>
          <w:szCs w:val="22"/>
        </w:rPr>
      </w:pPr>
    </w:p>
    <w:p w14:paraId="0CE9B80C" w14:textId="77777777" w:rsidR="00A20480" w:rsidRDefault="00A20480" w:rsidP="00A20480">
      <w:pPr>
        <w:spacing w:before="120" w:line="300" w:lineRule="auto"/>
        <w:ind w:firstLine="709"/>
        <w:jc w:val="both"/>
        <w:rPr>
          <w:rFonts w:ascii="Calibri" w:hAnsi="Calibri" w:cs="Arial"/>
          <w:sz w:val="22"/>
          <w:szCs w:val="22"/>
        </w:rPr>
      </w:pPr>
      <w:r>
        <w:rPr>
          <w:rFonts w:ascii="Calibri" w:hAnsi="Calibri" w:cs="Arial"/>
          <w:sz w:val="22"/>
          <w:szCs w:val="22"/>
        </w:rPr>
        <w:t xml:space="preserve">Los recursos del </w:t>
      </w:r>
      <w:r>
        <w:rPr>
          <w:rFonts w:ascii="Calibri" w:hAnsi="Calibri" w:cs="Arial"/>
          <w:b/>
          <w:sz w:val="22"/>
          <w:szCs w:val="22"/>
          <w:u w:val="single"/>
        </w:rPr>
        <w:t>Presupuesto de ingresos</w:t>
      </w:r>
      <w:r>
        <w:rPr>
          <w:rFonts w:ascii="Calibri" w:hAnsi="Calibri" w:cs="Arial"/>
          <w:b/>
          <w:sz w:val="22"/>
          <w:szCs w:val="22"/>
        </w:rPr>
        <w:t xml:space="preserve"> </w:t>
      </w:r>
      <w:r>
        <w:rPr>
          <w:rFonts w:ascii="Calibri" w:hAnsi="Calibri" w:cs="Arial"/>
          <w:sz w:val="22"/>
          <w:szCs w:val="22"/>
        </w:rPr>
        <w:t xml:space="preserve">para 2021 es de 20.308.016,64 euros, están formados principalmente por las aportaciones de las Administraciones consorciadas: </w:t>
      </w:r>
    </w:p>
    <w:p w14:paraId="7D465EE0" w14:textId="77777777" w:rsidR="00A20480" w:rsidRDefault="00A20480" w:rsidP="00A20480">
      <w:pPr>
        <w:pStyle w:val="Prrafodelista"/>
        <w:numPr>
          <w:ilvl w:val="0"/>
          <w:numId w:val="6"/>
        </w:numPr>
        <w:spacing w:before="120" w:line="300" w:lineRule="auto"/>
        <w:jc w:val="both"/>
        <w:rPr>
          <w:rFonts w:ascii="Calibri" w:hAnsi="Calibri" w:cs="Arial"/>
          <w:sz w:val="22"/>
          <w:szCs w:val="22"/>
        </w:rPr>
      </w:pPr>
      <w:r>
        <w:rPr>
          <w:rFonts w:ascii="Calibri" w:hAnsi="Calibri" w:cs="Arial"/>
          <w:sz w:val="22"/>
          <w:szCs w:val="22"/>
        </w:rPr>
        <w:t>Administraciones Públicas locales: Cabildo de Tenerife, 26 municipios de la isla de Tenerife.</w:t>
      </w:r>
    </w:p>
    <w:p w14:paraId="0FB2B243" w14:textId="77777777" w:rsidR="00A20480" w:rsidRDefault="00A20480" w:rsidP="00A20480">
      <w:pPr>
        <w:pStyle w:val="Prrafodelista"/>
        <w:numPr>
          <w:ilvl w:val="0"/>
          <w:numId w:val="6"/>
        </w:numPr>
        <w:spacing w:before="120" w:line="300" w:lineRule="auto"/>
        <w:jc w:val="both"/>
        <w:rPr>
          <w:rFonts w:ascii="Calibri" w:hAnsi="Calibri" w:cs="Arial"/>
          <w:sz w:val="22"/>
          <w:szCs w:val="22"/>
        </w:rPr>
      </w:pPr>
      <w:r>
        <w:rPr>
          <w:rFonts w:ascii="Calibri" w:hAnsi="Calibri" w:cs="Arial"/>
          <w:sz w:val="22"/>
          <w:szCs w:val="22"/>
        </w:rPr>
        <w:lastRenderedPageBreak/>
        <w:t>Administración Pública autonómica: Gobierno de Canarias.</w:t>
      </w:r>
    </w:p>
    <w:p w14:paraId="556D639E"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 xml:space="preserve">La aportación que se recoge en el Proyecto de Presupuesto de la Comunidad Autónoma Canaria para el año 2021 es de 2.017.539,00 euros, aumentando un 12% con respecto a los últimos años, en los que dicha aportación ha permanecido constante en 1.801.374 euros. </w:t>
      </w:r>
    </w:p>
    <w:p w14:paraId="609395D7"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El Excmo. Cabildo Insular de Tenerife asumirá el 40% del total de las aportaciones de las administraciones públicas locales, además de las que les correspondan a los ayuntamientos no consorciados, que actualmente son Buenavista, El Tanque, La Matanza, La Victoria y Santiago del Teide. El resto de ayuntamientos de la isla realizarán sus aportaciones hasta completar el 100% del total.</w:t>
      </w:r>
    </w:p>
    <w:p w14:paraId="18E83319"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Asimismo, el Cabildo Insular aportará una subvención específica de corriente para las Asociaciones de Bomberos Voluntarios de la isla por importe de 100.000,00 euros, que será distribuida entre las nueve asociaciones.</w:t>
      </w:r>
    </w:p>
    <w:p w14:paraId="1EFCFF54"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Igual que en los dos años anteriores, en este ejercicio se vuelve a presupuestar la cantidad de 378.900,00 euros, relativa a la aportación específica de capital que el Cabildo Insular de Tenerife otorga para poner en funcionamiento el nuevo Parque de Bomberos de Güímar. Nuevamente, el retraso de las obras de habilitación de la nave destinada a este Parque, ha supuesto el no poder justificar la aportación realizada para el mismo fin por el Cabildo en el ejercicio 2018, lo que ha dado lugar al no otorgamiento de la nueva aportación.</w:t>
      </w:r>
    </w:p>
    <w:p w14:paraId="6ADC0AA9" w14:textId="77777777" w:rsidR="00A20480" w:rsidRDefault="00A20480" w:rsidP="00A20480">
      <w:pPr>
        <w:spacing w:before="120" w:line="300" w:lineRule="auto"/>
        <w:ind w:firstLine="708"/>
        <w:jc w:val="both"/>
        <w:rPr>
          <w:rFonts w:ascii="Calibri" w:hAnsi="Calibri" w:cs="Arial"/>
          <w:bCs/>
          <w:sz w:val="22"/>
          <w:szCs w:val="22"/>
        </w:rPr>
      </w:pPr>
      <w:r>
        <w:rPr>
          <w:rFonts w:ascii="Calibri" w:hAnsi="Calibri" w:cs="Arial"/>
          <w:bCs/>
          <w:sz w:val="22"/>
          <w:szCs w:val="22"/>
        </w:rPr>
        <w:t>Los recursos por los que se nutre este Consorcio vienen recogidos en el artículo 30 de sus Estatutos. En él se encuentran los porcentajes de aportación de las Administraciones Públicas consorciadas y la fórmula para su reparto.</w:t>
      </w:r>
    </w:p>
    <w:p w14:paraId="1691EABC" w14:textId="77777777" w:rsidR="00A20480" w:rsidRDefault="00A20480" w:rsidP="00A20480">
      <w:pPr>
        <w:spacing w:before="120" w:line="300" w:lineRule="auto"/>
        <w:ind w:firstLine="708"/>
        <w:jc w:val="both"/>
        <w:rPr>
          <w:rFonts w:ascii="Calibri" w:hAnsi="Calibri" w:cs="Arial"/>
          <w:sz w:val="22"/>
          <w:szCs w:val="22"/>
        </w:rPr>
      </w:pPr>
      <w:r>
        <w:rPr>
          <w:rFonts w:ascii="Calibri" w:hAnsi="Calibri" w:cs="Arial"/>
          <w:sz w:val="22"/>
          <w:szCs w:val="22"/>
        </w:rPr>
        <w:t>El Presupuesto de 2021 está financiado en un 85,13% por las aportaciones de corriente de las administraciones públicas consorciadas, un 75,20% por las entidades locales y un 9,93% por el Gobierno de Canarias. A esto hay que sumar la aportación específica para gastos de inversión que el Cabildo de Tenerife destinada al Parque de Bomberos de Güímar, y que supone el 1,87% del Presupuesto.</w:t>
      </w:r>
    </w:p>
    <w:p w14:paraId="76E6F327" w14:textId="77777777" w:rsidR="00A20480" w:rsidRDefault="00A20480" w:rsidP="00A20480">
      <w:pPr>
        <w:spacing w:before="120" w:line="300" w:lineRule="auto"/>
        <w:ind w:firstLine="709"/>
        <w:jc w:val="both"/>
        <w:rPr>
          <w:rFonts w:ascii="Calibri" w:hAnsi="Calibri" w:cs="Arial"/>
          <w:sz w:val="22"/>
          <w:szCs w:val="22"/>
        </w:rPr>
      </w:pPr>
      <w:r>
        <w:rPr>
          <w:rFonts w:ascii="Calibri" w:hAnsi="Calibri" w:cs="Arial"/>
          <w:sz w:val="22"/>
          <w:szCs w:val="22"/>
        </w:rPr>
        <w:t>La estimación de ingresos en concepto de contribución especial de las entidades aseguradoras y reaseguradoras que cubren el riesgo de incendios en la isla de Tenerife, supone un 11,33% del total del Presupuesto. Las tasas por prestación de servicios y los precios públicos por retenes, solo alcanzan el 1,13%. El resto de los ingresos está formado por los reintegros de anticipos al personal, un 0,54%.</w:t>
      </w:r>
    </w:p>
    <w:p w14:paraId="150B1C9A" w14:textId="77777777" w:rsidR="00A20480" w:rsidRDefault="00A20480" w:rsidP="00A20480">
      <w:pPr>
        <w:spacing w:before="120" w:line="300" w:lineRule="auto"/>
        <w:ind w:firstLine="709"/>
        <w:jc w:val="both"/>
        <w:rPr>
          <w:rFonts w:ascii="Calibri" w:hAnsi="Calibri" w:cs="Arial"/>
          <w:bCs/>
          <w:color w:val="FF0000"/>
          <w:sz w:val="22"/>
          <w:szCs w:val="22"/>
        </w:rPr>
      </w:pPr>
    </w:p>
    <w:p w14:paraId="6654F61E" w14:textId="77777777" w:rsidR="00A20480" w:rsidRDefault="00A20480" w:rsidP="00A20480">
      <w:pPr>
        <w:spacing w:before="120" w:line="300" w:lineRule="auto"/>
        <w:ind w:firstLine="709"/>
        <w:jc w:val="both"/>
        <w:rPr>
          <w:rFonts w:ascii="Calibri" w:hAnsi="Calibri" w:cs="Calibri"/>
          <w:sz w:val="22"/>
          <w:szCs w:val="22"/>
        </w:rPr>
      </w:pPr>
      <w:r>
        <w:rPr>
          <w:rFonts w:ascii="Calibri" w:hAnsi="Calibri" w:cs="Calibri"/>
          <w:bCs/>
          <w:sz w:val="22"/>
          <w:szCs w:val="22"/>
        </w:rPr>
        <w:t xml:space="preserve">El </w:t>
      </w:r>
      <w:r>
        <w:rPr>
          <w:rFonts w:ascii="Calibri" w:hAnsi="Calibri" w:cs="Calibri"/>
          <w:b/>
          <w:bCs/>
          <w:sz w:val="22"/>
          <w:szCs w:val="22"/>
          <w:u w:val="single"/>
        </w:rPr>
        <w:t>Presupuesto de Gastos</w:t>
      </w:r>
      <w:r>
        <w:rPr>
          <w:rFonts w:ascii="Calibri" w:hAnsi="Calibri" w:cs="Calibri"/>
          <w:bCs/>
          <w:sz w:val="22"/>
          <w:szCs w:val="22"/>
        </w:rPr>
        <w:t xml:space="preserve"> para el ejercicio 2021 se cifra en </w:t>
      </w:r>
      <w:r>
        <w:rPr>
          <w:rFonts w:ascii="Calibri" w:hAnsi="Calibri" w:cs="Calibri"/>
          <w:sz w:val="22"/>
          <w:szCs w:val="22"/>
        </w:rPr>
        <w:t xml:space="preserve">20.308.016,64 </w:t>
      </w:r>
      <w:r>
        <w:rPr>
          <w:rFonts w:ascii="Calibri" w:hAnsi="Calibri" w:cs="Calibri"/>
          <w:bCs/>
          <w:sz w:val="22"/>
          <w:szCs w:val="22"/>
        </w:rPr>
        <w:t>euros. Con respecto al ejercicio anterior, el aumento producido es de 480.201,22 euros, lo que supone un incremento del 2,42%.</w:t>
      </w:r>
    </w:p>
    <w:p w14:paraId="6472C340" w14:textId="77777777" w:rsidR="00A20480" w:rsidRDefault="00A20480" w:rsidP="00A20480">
      <w:pPr>
        <w:spacing w:beforeLines="120" w:before="288" w:line="300" w:lineRule="auto"/>
        <w:ind w:firstLine="709"/>
        <w:jc w:val="both"/>
        <w:rPr>
          <w:rFonts w:ascii="Calibri" w:hAnsi="Calibri" w:cs="Arial"/>
          <w:sz w:val="22"/>
          <w:szCs w:val="22"/>
        </w:rPr>
      </w:pPr>
      <w:r>
        <w:rPr>
          <w:rFonts w:ascii="Calibri" w:hAnsi="Calibri" w:cs="Calibri"/>
          <w:b/>
          <w:bCs/>
          <w:sz w:val="22"/>
          <w:szCs w:val="22"/>
          <w:u w:val="single"/>
        </w:rPr>
        <w:lastRenderedPageBreak/>
        <w:t>Capítulo I</w:t>
      </w:r>
      <w:proofErr w:type="gramStart"/>
      <w:r>
        <w:rPr>
          <w:rFonts w:ascii="Calibri" w:hAnsi="Calibri" w:cs="Calibri"/>
          <w:bCs/>
          <w:sz w:val="22"/>
          <w:szCs w:val="22"/>
        </w:rPr>
        <w:t>: :</w:t>
      </w:r>
      <w:proofErr w:type="gramEnd"/>
      <w:r>
        <w:rPr>
          <w:rFonts w:ascii="Calibri" w:hAnsi="Calibri" w:cs="Calibri"/>
          <w:bCs/>
          <w:sz w:val="22"/>
          <w:szCs w:val="22"/>
        </w:rPr>
        <w:t xml:space="preserve"> </w:t>
      </w:r>
      <w:r>
        <w:rPr>
          <w:rFonts w:ascii="Calibri" w:hAnsi="Calibri" w:cs="Arial"/>
          <w:sz w:val="22"/>
          <w:szCs w:val="22"/>
        </w:rPr>
        <w:t xml:space="preserve">El Capítulo I del Presupuesto del Consorcio para 2021, asciende a la cantidad de 16.712.310,26 euros, lo que supone el 82,29% del total del Presupuesto del Consorcio. </w:t>
      </w:r>
    </w:p>
    <w:p w14:paraId="21B94CBD" w14:textId="77777777" w:rsidR="00A20480" w:rsidRDefault="00A20480" w:rsidP="00A20480">
      <w:pPr>
        <w:spacing w:beforeLines="120" w:before="288" w:line="300" w:lineRule="auto"/>
        <w:ind w:firstLine="709"/>
        <w:jc w:val="both"/>
        <w:rPr>
          <w:rFonts w:ascii="Calibri" w:hAnsi="Calibri" w:cs="Arial"/>
          <w:sz w:val="22"/>
          <w:szCs w:val="22"/>
        </w:rPr>
      </w:pPr>
      <w:r>
        <w:rPr>
          <w:rFonts w:ascii="Calibri" w:hAnsi="Calibri" w:cs="Arial"/>
          <w:sz w:val="22"/>
          <w:szCs w:val="22"/>
        </w:rPr>
        <w:t>El incremento de este capítulo con respecto al ejercicio precedente es de 717.655,66 euros, lo que supone un aumento del 4,49%.</w:t>
      </w:r>
    </w:p>
    <w:p w14:paraId="5CC1A402" w14:textId="77777777" w:rsidR="00A20480" w:rsidRDefault="00A20480" w:rsidP="00A20480">
      <w:pPr>
        <w:spacing w:beforeLines="120" w:before="288" w:line="300" w:lineRule="auto"/>
        <w:ind w:firstLine="709"/>
        <w:jc w:val="both"/>
        <w:rPr>
          <w:rFonts w:ascii="Calibri" w:hAnsi="Calibri" w:cs="Arial"/>
          <w:sz w:val="22"/>
          <w:szCs w:val="22"/>
        </w:rPr>
      </w:pPr>
      <w:r>
        <w:rPr>
          <w:rFonts w:ascii="Calibri" w:hAnsi="Calibri" w:cs="Arial"/>
          <w:sz w:val="22"/>
          <w:szCs w:val="22"/>
        </w:rPr>
        <w:t>En la elaboración de este capítulo, además de las disposiciones normativas que regulan las retribuciones de los empleados públicos, se han tenido en cuenta los criterios previstos en el Acuerdo adoptado por el Consejo de Gobierno Insular del Excmo. Cabildo Insular de Tenerife el 14 de octubre de 2020, así como los compromisos derivados del cumplimiento del vigente Acuerdo de Condiciones de Trabajo del Personal Funcionario de esta Entidad y de la aplicación del Convenio Colectivo del Personal Laboral, materializando adicionalmente los compromisos adquiridos tras la formalización del Acuerdo de Final de huelga suscrito entre este Consorcio y los representantes sociales, aprobado por el Pleno del Consorcio en su sesión de 28 de junio de 2017, y los acuerdos alcanzados en la Mesa General de Negociación celebrada el pasado 12 de abril de 2019, aprobados por el Pleno de este Consorcio en su sesión de fecha 8 de mayo de 2019, compromisos que a nivel presupuestario se resumen en lo siguiente:</w:t>
      </w:r>
    </w:p>
    <w:p w14:paraId="0BBDC728" w14:textId="77777777" w:rsidR="00A20480" w:rsidRDefault="00A20480" w:rsidP="00A20480">
      <w:pPr>
        <w:pStyle w:val="Prrafodelista"/>
        <w:numPr>
          <w:ilvl w:val="0"/>
          <w:numId w:val="7"/>
        </w:numPr>
        <w:tabs>
          <w:tab w:val="left" w:pos="851"/>
        </w:tabs>
        <w:spacing w:beforeLines="120" w:before="288" w:line="300" w:lineRule="auto"/>
        <w:ind w:left="720" w:firstLine="709"/>
        <w:jc w:val="both"/>
        <w:rPr>
          <w:rFonts w:ascii="Calibri" w:hAnsi="Calibri" w:cs="Arial"/>
          <w:sz w:val="22"/>
          <w:szCs w:val="22"/>
        </w:rPr>
      </w:pPr>
      <w:r>
        <w:rPr>
          <w:rFonts w:ascii="Calibri" w:hAnsi="Calibri" w:cs="Arial"/>
          <w:sz w:val="22"/>
          <w:szCs w:val="22"/>
        </w:rPr>
        <w:t xml:space="preserve">Incremento del 2% en las retribuciones del personal sobre las retribuciones del mes de diciembre de 2019, en aplicación de lo previsto en el Título III, artículo 3 Dos del Real Decreto-Ley 2/2020, de 21 de enero de 2020, por el que se aprueban medidas urgentes en materia de retribuciones en el ámbito del sector público, y conforme criterios en materia de gasto de personal aplicables para el ejercicio 2020 aprobados por el Consejo de Gobierno Insular del Excmo. Cabildo Insular de Tenerife en sesión celebrada el día 10 de marzo de 2020, se ha aplicado </w:t>
      </w:r>
    </w:p>
    <w:p w14:paraId="0A8E08A0" w14:textId="77777777" w:rsidR="00A20480" w:rsidRDefault="00A20480" w:rsidP="00A20480">
      <w:pPr>
        <w:pStyle w:val="Prrafodelista"/>
        <w:tabs>
          <w:tab w:val="left" w:pos="851"/>
        </w:tabs>
        <w:spacing w:beforeLines="120" w:before="288" w:line="300" w:lineRule="auto"/>
        <w:ind w:left="1429"/>
        <w:jc w:val="both"/>
        <w:rPr>
          <w:rFonts w:ascii="Calibri" w:hAnsi="Calibri" w:cs="Arial"/>
          <w:sz w:val="22"/>
          <w:szCs w:val="22"/>
        </w:rPr>
      </w:pPr>
    </w:p>
    <w:p w14:paraId="05ED935B" w14:textId="77777777" w:rsidR="00A20480" w:rsidRDefault="00A20480" w:rsidP="00A20480">
      <w:pPr>
        <w:pStyle w:val="Prrafodelista"/>
        <w:numPr>
          <w:ilvl w:val="0"/>
          <w:numId w:val="7"/>
        </w:numPr>
        <w:tabs>
          <w:tab w:val="left" w:pos="851"/>
        </w:tabs>
        <w:spacing w:beforeLines="120" w:before="288" w:line="300" w:lineRule="auto"/>
        <w:ind w:left="720" w:firstLine="709"/>
        <w:jc w:val="both"/>
        <w:rPr>
          <w:rFonts w:ascii="Calibri" w:hAnsi="Calibri" w:cs="Arial"/>
          <w:sz w:val="22"/>
          <w:szCs w:val="22"/>
        </w:rPr>
      </w:pPr>
      <w:r>
        <w:rPr>
          <w:rFonts w:ascii="Calibri" w:hAnsi="Calibri" w:cs="Arial"/>
          <w:sz w:val="22"/>
          <w:szCs w:val="22"/>
        </w:rPr>
        <w:t xml:space="preserve">Incremento </w:t>
      </w:r>
      <w:proofErr w:type="gramStart"/>
      <w:r>
        <w:rPr>
          <w:rFonts w:ascii="Calibri" w:hAnsi="Calibri" w:cs="Arial"/>
          <w:sz w:val="22"/>
          <w:szCs w:val="22"/>
        </w:rPr>
        <w:t>de los mínimo</w:t>
      </w:r>
      <w:proofErr w:type="gramEnd"/>
      <w:r>
        <w:rPr>
          <w:rFonts w:ascii="Calibri" w:hAnsi="Calibri" w:cs="Arial"/>
          <w:sz w:val="22"/>
          <w:szCs w:val="22"/>
        </w:rPr>
        <w:t xml:space="preserve"> diarios. Con la próxima apertura del Parque de Bomberos de Güímar previsiblemente en el mes de julio de 2021, será necesario aumentar la dotación diaria a 48 efectivos en el momento de que el citado Parque inicie su actividad, por lo que el Presupuesto de 2021, ha sido confeccionado para soportar el citado incremento de mínimos diarios a partir del mes de julio.</w:t>
      </w:r>
    </w:p>
    <w:p w14:paraId="063ACA80" w14:textId="77777777" w:rsidR="00A20480" w:rsidRDefault="00A20480" w:rsidP="00A20480">
      <w:pPr>
        <w:spacing w:beforeLines="120" w:before="288" w:line="300" w:lineRule="auto"/>
        <w:ind w:firstLine="709"/>
        <w:jc w:val="both"/>
        <w:rPr>
          <w:rFonts w:ascii="Calibri" w:hAnsi="Calibri" w:cs="Arial"/>
          <w:sz w:val="22"/>
          <w:szCs w:val="22"/>
        </w:rPr>
      </w:pPr>
      <w:r>
        <w:rPr>
          <w:rFonts w:ascii="Calibri" w:hAnsi="Calibri" w:cs="Arial"/>
          <w:sz w:val="22"/>
          <w:szCs w:val="22"/>
        </w:rPr>
        <w:t>Para dar respuesta a lo anterior, se continúa presupuestando 34 plazas vacantes de Bombero Especialista Conductor, subgrupo C1, de las cuales, 9 se dotan a 12 meses y 25 parcialmente a partir del 1 de julio de 2021, dándose cumplimiento a los acuerdos suscritos con la representación social en cuanto a que el Consorcio cuente con un mayor número de efectivos para dotar de personal a los nuevos Parques que se puedan crear.</w:t>
      </w:r>
    </w:p>
    <w:p w14:paraId="18774C12" w14:textId="77777777" w:rsidR="00A20480" w:rsidRDefault="00A20480" w:rsidP="00A20480">
      <w:pPr>
        <w:spacing w:beforeLines="120" w:before="288" w:line="300" w:lineRule="auto"/>
        <w:ind w:firstLine="709"/>
        <w:jc w:val="both"/>
        <w:rPr>
          <w:rFonts w:ascii="Calibri" w:hAnsi="Calibri" w:cs="Arial"/>
          <w:sz w:val="22"/>
          <w:szCs w:val="22"/>
        </w:rPr>
      </w:pPr>
      <w:r>
        <w:rPr>
          <w:rFonts w:ascii="Calibri" w:hAnsi="Calibri" w:cs="Arial"/>
          <w:sz w:val="22"/>
          <w:szCs w:val="22"/>
        </w:rPr>
        <w:lastRenderedPageBreak/>
        <w:t>- Las guardias de convenio del personal operativo sujeto a turno establecidas en el Acuerdo de Condiciones de Trabajo del Personal Funcionario del Consorcio, por aplicación del acuerdo de la Mesa General indicado anteriormente, se mantienen en 6 guardias anuales, dándose asimismo, cumplimiento a la Disposición Adicional centésima cuadragésima cuarta (144ª) de la LPGE para 2018, previéndose una jornada especial de trabajo del personal operativo de este Consorcio a treinta y siete horas y treinta minutos (37 h y 30 m) semanales de trabajo efectivo de promedio en cómputo anual.</w:t>
      </w:r>
    </w:p>
    <w:p w14:paraId="33AE1187" w14:textId="77777777" w:rsidR="00A20480" w:rsidRDefault="00A20480" w:rsidP="00A20480">
      <w:pPr>
        <w:spacing w:beforeLines="120" w:before="288" w:line="300" w:lineRule="auto"/>
        <w:ind w:firstLine="709"/>
        <w:jc w:val="both"/>
        <w:rPr>
          <w:rFonts w:ascii="Calibri" w:hAnsi="Calibri" w:cs="Arial"/>
          <w:sz w:val="22"/>
          <w:szCs w:val="22"/>
        </w:rPr>
      </w:pPr>
      <w:r>
        <w:rPr>
          <w:rFonts w:ascii="Calibri" w:hAnsi="Calibri" w:cs="Arial"/>
          <w:sz w:val="22"/>
          <w:szCs w:val="22"/>
        </w:rPr>
        <w:t>Derivado de lo anterior y de la actualización de los importes de los servicios extraordinarios, tanto de personal funcionario como de personal laboral, se produce un aumento en este concepto con respecto a los ejercicios anteriores de 134.422,08 euros, alcanzándose un total de 1.420.025,92 euros.</w:t>
      </w:r>
    </w:p>
    <w:p w14:paraId="37E32A5B" w14:textId="77777777" w:rsidR="00A20480" w:rsidRDefault="00A20480" w:rsidP="00A20480">
      <w:pPr>
        <w:tabs>
          <w:tab w:val="left" w:pos="709"/>
        </w:tabs>
        <w:spacing w:beforeLines="120" w:before="288" w:line="300" w:lineRule="auto"/>
        <w:ind w:firstLine="709"/>
        <w:jc w:val="both"/>
        <w:rPr>
          <w:rFonts w:ascii="Calibri" w:hAnsi="Calibri" w:cs="Arial"/>
          <w:sz w:val="22"/>
          <w:szCs w:val="22"/>
        </w:rPr>
      </w:pPr>
      <w:r>
        <w:rPr>
          <w:rFonts w:ascii="Calibri" w:hAnsi="Calibri" w:cs="Arial"/>
          <w:sz w:val="22"/>
          <w:szCs w:val="22"/>
        </w:rPr>
        <w:t xml:space="preserve">- Se sigue dotando una cantidad económica para hacer frente al nuevo complemento funcional acordado en la Mesa General de Negociación, en concepto de traslado de EPIS en los vehículos particulares para la realización de guardias de convenio y extraordinarias y otras situaciones que impliquen un traslado efectivo a un parque distinto al de su adscripción. </w:t>
      </w:r>
    </w:p>
    <w:p w14:paraId="20DCB562" w14:textId="77777777" w:rsidR="00A20480" w:rsidRDefault="00A20480" w:rsidP="00A20480">
      <w:pPr>
        <w:pStyle w:val="Prrafodelista"/>
        <w:numPr>
          <w:ilvl w:val="0"/>
          <w:numId w:val="8"/>
        </w:numPr>
        <w:tabs>
          <w:tab w:val="left" w:pos="851"/>
        </w:tabs>
        <w:autoSpaceDE/>
        <w:spacing w:beforeLines="120" w:before="288" w:line="300" w:lineRule="auto"/>
        <w:ind w:left="720" w:firstLine="709"/>
        <w:jc w:val="both"/>
        <w:rPr>
          <w:rFonts w:ascii="Calibri" w:hAnsi="Calibri" w:cs="Arial"/>
          <w:sz w:val="22"/>
          <w:szCs w:val="22"/>
        </w:rPr>
      </w:pPr>
      <w:r>
        <w:rPr>
          <w:rFonts w:ascii="Calibri" w:hAnsi="Calibri" w:cs="Arial"/>
          <w:sz w:val="22"/>
          <w:szCs w:val="22"/>
        </w:rPr>
        <w:t xml:space="preserve">Se ha tenido en cuenta al igual que en el Presupuesto de 2019 y 2020, dentro de la formación, que la parte práctica de cada uno de los módulos de formación obligatoria se realizará fuera de los turnos de trabajo, y dado que constituye formación obligatoria, será compensada con descanso equivalente con una duración anual de 24 horas. </w:t>
      </w:r>
    </w:p>
    <w:p w14:paraId="4E273FA6" w14:textId="77777777" w:rsidR="00A20480" w:rsidRDefault="00A20480" w:rsidP="00A20480">
      <w:pPr>
        <w:numPr>
          <w:ilvl w:val="0"/>
          <w:numId w:val="7"/>
        </w:numPr>
        <w:tabs>
          <w:tab w:val="num" w:pos="0"/>
          <w:tab w:val="left" w:pos="851"/>
        </w:tabs>
        <w:spacing w:beforeLines="120" w:before="288" w:line="300" w:lineRule="auto"/>
        <w:ind w:left="0" w:firstLine="709"/>
        <w:jc w:val="both"/>
        <w:rPr>
          <w:rFonts w:ascii="Calibri" w:hAnsi="Calibri" w:cs="Arial"/>
          <w:sz w:val="22"/>
          <w:szCs w:val="22"/>
        </w:rPr>
      </w:pPr>
      <w:r>
        <w:rPr>
          <w:rFonts w:ascii="Calibri" w:hAnsi="Calibri" w:cs="Arial"/>
          <w:sz w:val="22"/>
          <w:szCs w:val="22"/>
        </w:rPr>
        <w:t>La cantidad destinada a la formación del personal, así como la de Acción social, se han mantenido igual a la contemplada en los ejercicios 2017, 2018, 2019 y 2020.</w:t>
      </w:r>
    </w:p>
    <w:p w14:paraId="52C1B558" w14:textId="77777777" w:rsidR="00A20480" w:rsidRDefault="00A20480" w:rsidP="00A20480">
      <w:pPr>
        <w:spacing w:beforeLines="120" w:before="288" w:line="300" w:lineRule="auto"/>
        <w:ind w:firstLine="709"/>
        <w:jc w:val="both"/>
        <w:rPr>
          <w:rFonts w:ascii="Calibri" w:hAnsi="Calibri" w:cs="Arial"/>
          <w:sz w:val="22"/>
          <w:szCs w:val="22"/>
        </w:rPr>
      </w:pPr>
      <w:r>
        <w:rPr>
          <w:rFonts w:ascii="Calibri" w:hAnsi="Calibri" w:cs="Arial"/>
          <w:sz w:val="22"/>
          <w:szCs w:val="22"/>
        </w:rPr>
        <w:t>Adicionalmente a lo anterior, el capítulo I recoge lo siguiente:</w:t>
      </w:r>
    </w:p>
    <w:p w14:paraId="6C56DC57" w14:textId="77777777" w:rsidR="00A20480" w:rsidRDefault="00A20480" w:rsidP="00A20480">
      <w:pPr>
        <w:pStyle w:val="Prrafodelista"/>
        <w:numPr>
          <w:ilvl w:val="0"/>
          <w:numId w:val="7"/>
        </w:numPr>
        <w:tabs>
          <w:tab w:val="left" w:pos="851"/>
        </w:tabs>
        <w:spacing w:beforeLines="120" w:before="288" w:line="300" w:lineRule="auto"/>
        <w:ind w:left="720" w:firstLine="709"/>
        <w:jc w:val="both"/>
        <w:rPr>
          <w:rFonts w:ascii="Calibri" w:hAnsi="Calibri" w:cs="Arial"/>
          <w:sz w:val="22"/>
          <w:szCs w:val="22"/>
        </w:rPr>
      </w:pPr>
      <w:r>
        <w:rPr>
          <w:rFonts w:ascii="Calibri" w:hAnsi="Calibri" w:cs="Arial"/>
          <w:sz w:val="22"/>
          <w:szCs w:val="22"/>
        </w:rPr>
        <w:t>El coste de los días de asuntos particulares y de vacaciones adicionales por antigüedad aprobados por el Real Decreto Ley 10/2015 de 11 de septiembre.</w:t>
      </w:r>
    </w:p>
    <w:p w14:paraId="5B4FDA9C" w14:textId="77777777" w:rsidR="00A20480" w:rsidRDefault="00A20480" w:rsidP="00A20480">
      <w:pPr>
        <w:pStyle w:val="Prrafodelista"/>
        <w:tabs>
          <w:tab w:val="left" w:pos="851"/>
        </w:tabs>
        <w:spacing w:beforeLines="120" w:before="288" w:line="300" w:lineRule="auto"/>
        <w:ind w:left="1429"/>
        <w:jc w:val="both"/>
        <w:rPr>
          <w:rFonts w:ascii="Calibri" w:hAnsi="Calibri" w:cs="Arial"/>
          <w:sz w:val="22"/>
          <w:szCs w:val="22"/>
        </w:rPr>
      </w:pPr>
    </w:p>
    <w:p w14:paraId="218266D2" w14:textId="77777777" w:rsidR="00A20480" w:rsidRDefault="00A20480" w:rsidP="00A20480">
      <w:pPr>
        <w:pStyle w:val="Prrafodelista"/>
        <w:numPr>
          <w:ilvl w:val="0"/>
          <w:numId w:val="7"/>
        </w:numPr>
        <w:tabs>
          <w:tab w:val="left" w:pos="851"/>
        </w:tabs>
        <w:spacing w:beforeLines="120" w:before="288" w:line="300" w:lineRule="auto"/>
        <w:ind w:left="720" w:firstLine="709"/>
        <w:jc w:val="both"/>
        <w:rPr>
          <w:rFonts w:ascii="Calibri" w:hAnsi="Calibri" w:cs="Arial"/>
          <w:sz w:val="22"/>
          <w:szCs w:val="22"/>
        </w:rPr>
      </w:pPr>
      <w:r>
        <w:rPr>
          <w:rFonts w:ascii="Calibri" w:hAnsi="Calibri" w:cs="Arial"/>
          <w:sz w:val="22"/>
          <w:szCs w:val="22"/>
        </w:rPr>
        <w:t>Siguiendo las directrices marcadas por Excmo. Cabildo Insular de Tenerife, según lo acordado en el Consejo de Gobierno Insular del citado ente el 14 de octubre de 2020, se han contemplado las retribuciones vigentes a 31 de diciembre de 2019, ya incorporados los incrementos previstos en el Real Decreto Ley 10/2015 de 11 de septiembre, tanto por lo que respecta a efectivos de personal como a la antigüedad del mismo, sin perjuicio de que se estará a lo que disponga en materia de gastos de personal la correspondiente normativa presupuestaria para 2021, una vez se produzca su aprobación y entrada en vigor.</w:t>
      </w:r>
    </w:p>
    <w:p w14:paraId="22AF3918" w14:textId="77777777" w:rsidR="00A20480" w:rsidRDefault="00A20480" w:rsidP="00A20480">
      <w:pPr>
        <w:pStyle w:val="Prrafodelista"/>
        <w:tabs>
          <w:tab w:val="left" w:pos="851"/>
        </w:tabs>
        <w:spacing w:beforeLines="120" w:before="288" w:line="300" w:lineRule="auto"/>
        <w:ind w:left="1429"/>
        <w:jc w:val="both"/>
        <w:rPr>
          <w:rFonts w:ascii="Calibri" w:hAnsi="Calibri" w:cs="Arial"/>
          <w:sz w:val="22"/>
          <w:szCs w:val="22"/>
        </w:rPr>
      </w:pPr>
    </w:p>
    <w:p w14:paraId="372E070A" w14:textId="77777777" w:rsidR="00A20480" w:rsidRDefault="00A20480" w:rsidP="00A20480">
      <w:pPr>
        <w:pStyle w:val="Prrafodelista"/>
        <w:numPr>
          <w:ilvl w:val="0"/>
          <w:numId w:val="7"/>
        </w:numPr>
        <w:tabs>
          <w:tab w:val="num" w:pos="851"/>
        </w:tabs>
        <w:spacing w:beforeLines="120" w:before="288" w:line="300" w:lineRule="auto"/>
        <w:ind w:left="720" w:firstLine="709"/>
        <w:jc w:val="both"/>
        <w:rPr>
          <w:rFonts w:ascii="Calibri" w:hAnsi="Calibri" w:cs="Arial"/>
          <w:sz w:val="22"/>
          <w:szCs w:val="22"/>
        </w:rPr>
      </w:pPr>
      <w:r>
        <w:rPr>
          <w:rFonts w:ascii="Calibri" w:hAnsi="Calibri" w:cs="Arial"/>
          <w:sz w:val="22"/>
          <w:szCs w:val="22"/>
        </w:rPr>
        <w:t xml:space="preserve">El incremento del valor del punto del complemento específico del personal en virtud de lo previsto en el artículo 121 de la ley 40/2015, de 1 de octubre, de Régimen Jurídico del Sector Público, dándose asimismo cumplimiento a lo previsto en la Base 34ª de las de Ejecución del Presupuesto de este Consorcio al establecer que “la cuantía de las retribuciones del personal al servicio del Consorcio se ajustará a lo previsto en la Ley de Presupuestos Generales del Estado en lo relativo a las retribuciones de los empleados públicos. A los efectos de determinar la cuantía del complemento específico en que estén valorados los puestos de trabajo, se estará al valor del punto fijado por el Excmo. Cabildo Insular de Tenerife como Administración Pública de adscripción”.  </w:t>
      </w:r>
    </w:p>
    <w:p w14:paraId="7BD0E2BF" w14:textId="77777777" w:rsidR="00A20480" w:rsidRDefault="00A20480" w:rsidP="00A20480">
      <w:pPr>
        <w:spacing w:beforeLines="120" w:before="288" w:line="300" w:lineRule="auto"/>
        <w:ind w:firstLine="709"/>
        <w:jc w:val="both"/>
        <w:rPr>
          <w:rFonts w:ascii="Calibri" w:hAnsi="Calibri" w:cs="Arial"/>
          <w:sz w:val="22"/>
          <w:szCs w:val="22"/>
        </w:rPr>
      </w:pPr>
      <w:r>
        <w:rPr>
          <w:rFonts w:ascii="Calibri" w:hAnsi="Calibri" w:cs="Arial"/>
          <w:sz w:val="22"/>
          <w:szCs w:val="22"/>
        </w:rPr>
        <w:t xml:space="preserve">La plantilla de personal mantiene las mismas plazas que en el ejercicio anterior, si bien, se dotan parcialmente a partir del 01/09/2021, 2 plazas de </w:t>
      </w:r>
      <w:proofErr w:type="gramStart"/>
      <w:r>
        <w:rPr>
          <w:rFonts w:ascii="Calibri" w:hAnsi="Calibri" w:cs="Arial"/>
          <w:sz w:val="22"/>
          <w:szCs w:val="22"/>
        </w:rPr>
        <w:t>Responsable</w:t>
      </w:r>
      <w:proofErr w:type="gramEnd"/>
      <w:r>
        <w:rPr>
          <w:rFonts w:ascii="Calibri" w:hAnsi="Calibri" w:cs="Arial"/>
          <w:sz w:val="22"/>
          <w:szCs w:val="22"/>
        </w:rPr>
        <w:t xml:space="preserve"> de Zona (A2) que en el Presupuesto de 2020 se habían creado sin dotación.</w:t>
      </w:r>
    </w:p>
    <w:p w14:paraId="1797AA9B" w14:textId="77777777" w:rsidR="00A20480" w:rsidRDefault="00A20480" w:rsidP="00A20480">
      <w:pPr>
        <w:spacing w:beforeLines="120" w:before="288" w:line="300" w:lineRule="auto"/>
        <w:ind w:firstLine="709"/>
        <w:jc w:val="both"/>
        <w:rPr>
          <w:rFonts w:ascii="Calibri" w:hAnsi="Calibri" w:cs="Arial"/>
          <w:sz w:val="22"/>
          <w:szCs w:val="22"/>
        </w:rPr>
      </w:pPr>
      <w:r>
        <w:rPr>
          <w:rFonts w:ascii="Calibri" w:hAnsi="Calibri" w:cs="Arial"/>
          <w:sz w:val="22"/>
          <w:szCs w:val="22"/>
        </w:rPr>
        <w:t xml:space="preserve">Siguen presupuestándose las siguientes plazas: </w:t>
      </w:r>
    </w:p>
    <w:p w14:paraId="3078C178" w14:textId="77777777" w:rsidR="00A20480" w:rsidRDefault="00A20480" w:rsidP="00A20480">
      <w:pPr>
        <w:pStyle w:val="Prrafodelista"/>
        <w:numPr>
          <w:ilvl w:val="0"/>
          <w:numId w:val="9"/>
        </w:numPr>
        <w:spacing w:beforeLines="120" w:before="288" w:line="300" w:lineRule="auto"/>
        <w:ind w:left="720" w:firstLine="709"/>
        <w:jc w:val="both"/>
        <w:rPr>
          <w:rFonts w:ascii="Calibri" w:hAnsi="Calibri" w:cs="Arial"/>
          <w:sz w:val="22"/>
          <w:szCs w:val="22"/>
        </w:rPr>
      </w:pPr>
      <w:r>
        <w:rPr>
          <w:rFonts w:ascii="Calibri" w:hAnsi="Calibri" w:cs="Arial"/>
          <w:sz w:val="22"/>
          <w:szCs w:val="22"/>
        </w:rPr>
        <w:t>34 plazas de bombero especialista conductor derivadas de la apertura del Parque de Güímar, de las cuales, 9 dotadas a partir del 01.01.2021, y 25 dotadas a partir del 01.07.21.</w:t>
      </w:r>
    </w:p>
    <w:p w14:paraId="23A2E52C" w14:textId="77777777" w:rsidR="00A20480" w:rsidRDefault="00A20480" w:rsidP="00A20480">
      <w:pPr>
        <w:pStyle w:val="Prrafodelista"/>
        <w:numPr>
          <w:ilvl w:val="0"/>
          <w:numId w:val="9"/>
        </w:numPr>
        <w:spacing w:beforeLines="120" w:before="288" w:line="300" w:lineRule="auto"/>
        <w:ind w:left="720" w:firstLine="709"/>
        <w:jc w:val="both"/>
        <w:rPr>
          <w:rFonts w:ascii="Calibri" w:hAnsi="Calibri" w:cs="Arial"/>
          <w:sz w:val="22"/>
          <w:szCs w:val="22"/>
        </w:rPr>
      </w:pPr>
      <w:r>
        <w:rPr>
          <w:rFonts w:ascii="Calibri" w:hAnsi="Calibri" w:cs="Arial"/>
          <w:sz w:val="22"/>
          <w:szCs w:val="22"/>
        </w:rPr>
        <w:t xml:space="preserve">1 plaza de Técnico de Administración Especial (adjunto al Oficial </w:t>
      </w:r>
      <w:proofErr w:type="gramStart"/>
      <w:r>
        <w:rPr>
          <w:rFonts w:ascii="Calibri" w:hAnsi="Calibri" w:cs="Arial"/>
          <w:sz w:val="22"/>
          <w:szCs w:val="22"/>
        </w:rPr>
        <w:t>Jefe</w:t>
      </w:r>
      <w:proofErr w:type="gramEnd"/>
      <w:r>
        <w:rPr>
          <w:rFonts w:ascii="Calibri" w:hAnsi="Calibri" w:cs="Arial"/>
          <w:sz w:val="22"/>
          <w:szCs w:val="22"/>
        </w:rPr>
        <w:t>). Dotada a partir del 01.01.2021.</w:t>
      </w:r>
    </w:p>
    <w:p w14:paraId="3B3E94E3" w14:textId="77777777" w:rsidR="00A20480" w:rsidRDefault="00A20480" w:rsidP="00A20480">
      <w:pPr>
        <w:pStyle w:val="Prrafodelista"/>
        <w:numPr>
          <w:ilvl w:val="0"/>
          <w:numId w:val="9"/>
        </w:numPr>
        <w:spacing w:beforeLines="120" w:before="288" w:line="300" w:lineRule="auto"/>
        <w:ind w:left="720" w:firstLine="709"/>
        <w:jc w:val="both"/>
        <w:rPr>
          <w:rFonts w:ascii="Calibri" w:hAnsi="Calibri" w:cs="Arial"/>
          <w:sz w:val="22"/>
          <w:szCs w:val="22"/>
        </w:rPr>
      </w:pPr>
      <w:r>
        <w:rPr>
          <w:rFonts w:ascii="Calibri" w:hAnsi="Calibri" w:cs="Arial"/>
          <w:sz w:val="22"/>
          <w:szCs w:val="22"/>
        </w:rPr>
        <w:t>2 plazas de Técnicos de Coordinación dentro de la Sala Operativa del 112, derivado de la necesidad de cubrir sin dificultad los turnos del personal que presta sus servicios en la Central de Coordinación de Emergencias los 365 días del año durante 24 horas.</w:t>
      </w:r>
    </w:p>
    <w:p w14:paraId="6AE2A260" w14:textId="77777777" w:rsidR="00A20480" w:rsidRDefault="00A20480" w:rsidP="00A20480">
      <w:pPr>
        <w:pStyle w:val="Prrafodelista"/>
        <w:spacing w:beforeLines="120" w:before="288" w:line="300" w:lineRule="auto"/>
        <w:ind w:firstLine="709"/>
        <w:rPr>
          <w:rFonts w:ascii="Calibri" w:hAnsi="Calibri" w:cs="Arial"/>
          <w:sz w:val="22"/>
          <w:szCs w:val="22"/>
        </w:rPr>
      </w:pPr>
    </w:p>
    <w:p w14:paraId="137C3BE2" w14:textId="77777777" w:rsidR="00A20480" w:rsidRDefault="00A20480" w:rsidP="00A20480">
      <w:pPr>
        <w:spacing w:beforeLines="120" w:before="288" w:line="300" w:lineRule="auto"/>
        <w:ind w:firstLine="709"/>
        <w:jc w:val="both"/>
        <w:rPr>
          <w:rFonts w:ascii="Calibri" w:hAnsi="Calibri" w:cs="Arial"/>
          <w:bCs/>
          <w:sz w:val="22"/>
          <w:szCs w:val="22"/>
        </w:rPr>
      </w:pPr>
      <w:r>
        <w:rPr>
          <w:rFonts w:ascii="Calibri" w:hAnsi="Calibri" w:cs="Arial"/>
          <w:bCs/>
          <w:sz w:val="22"/>
          <w:szCs w:val="22"/>
        </w:rPr>
        <w:t xml:space="preserve">El </w:t>
      </w:r>
      <w:r>
        <w:rPr>
          <w:rFonts w:ascii="Calibri" w:hAnsi="Calibri" w:cs="Arial"/>
          <w:b/>
          <w:bCs/>
          <w:sz w:val="22"/>
          <w:szCs w:val="22"/>
          <w:u w:val="single"/>
        </w:rPr>
        <w:t>Capítulo II</w:t>
      </w:r>
      <w:r>
        <w:rPr>
          <w:rFonts w:ascii="Calibri" w:hAnsi="Calibri" w:cs="Arial"/>
          <w:bCs/>
          <w:sz w:val="22"/>
          <w:szCs w:val="22"/>
        </w:rPr>
        <w:t xml:space="preserve">, como cada año recoge los gastos necesarios para mantener un servicio de emergencia en condiciones óptimas que se traduzca en beneficio de la población. </w:t>
      </w:r>
    </w:p>
    <w:p w14:paraId="2011FC15" w14:textId="77777777" w:rsidR="00A20480" w:rsidRDefault="00A20480" w:rsidP="00A20480">
      <w:pPr>
        <w:spacing w:beforeLines="120" w:before="288" w:line="300" w:lineRule="auto"/>
        <w:ind w:firstLine="709"/>
        <w:jc w:val="both"/>
        <w:rPr>
          <w:rFonts w:ascii="Calibri" w:hAnsi="Calibri" w:cs="Arial"/>
          <w:bCs/>
          <w:sz w:val="22"/>
          <w:szCs w:val="22"/>
        </w:rPr>
      </w:pPr>
      <w:r>
        <w:rPr>
          <w:rFonts w:ascii="Calibri" w:hAnsi="Calibri" w:cs="Arial"/>
          <w:bCs/>
          <w:sz w:val="22"/>
          <w:szCs w:val="22"/>
        </w:rPr>
        <w:t xml:space="preserve">Los gastos de este capítulo se distribuyen tres bloques: </w:t>
      </w:r>
    </w:p>
    <w:p w14:paraId="6D008732" w14:textId="77777777" w:rsidR="00A20480" w:rsidRDefault="00A20480" w:rsidP="00A20480">
      <w:pPr>
        <w:pStyle w:val="Prrafodelista"/>
        <w:numPr>
          <w:ilvl w:val="0"/>
          <w:numId w:val="7"/>
        </w:numPr>
        <w:spacing w:beforeLines="120" w:before="288" w:line="300" w:lineRule="auto"/>
        <w:ind w:left="720" w:firstLine="709"/>
        <w:jc w:val="both"/>
        <w:rPr>
          <w:rFonts w:ascii="Calibri" w:hAnsi="Calibri" w:cs="Arial"/>
          <w:bCs/>
          <w:sz w:val="22"/>
          <w:szCs w:val="22"/>
        </w:rPr>
      </w:pPr>
      <w:r>
        <w:rPr>
          <w:rFonts w:ascii="Calibri" w:hAnsi="Calibri" w:cs="Arial"/>
          <w:bCs/>
          <w:sz w:val="22"/>
          <w:szCs w:val="22"/>
        </w:rPr>
        <w:t xml:space="preserve">Los edificios de los parques de bomberos que necesitan anualmente mantenimiento de sus instalaciones. Aquí se incluye también la limpieza diaria de los centros y los suministros de agua, </w:t>
      </w:r>
      <w:proofErr w:type="gramStart"/>
      <w:r>
        <w:rPr>
          <w:rFonts w:ascii="Calibri" w:hAnsi="Calibri" w:cs="Arial"/>
          <w:bCs/>
          <w:sz w:val="22"/>
          <w:szCs w:val="22"/>
        </w:rPr>
        <w:t>electricidad,…</w:t>
      </w:r>
      <w:proofErr w:type="gramEnd"/>
    </w:p>
    <w:p w14:paraId="484F73A3" w14:textId="77777777" w:rsidR="00A20480" w:rsidRDefault="00A20480" w:rsidP="00A20480">
      <w:pPr>
        <w:pStyle w:val="Prrafodelista"/>
        <w:numPr>
          <w:ilvl w:val="0"/>
          <w:numId w:val="7"/>
        </w:numPr>
        <w:spacing w:beforeLines="120" w:before="288" w:line="300" w:lineRule="auto"/>
        <w:ind w:left="720" w:firstLine="709"/>
        <w:jc w:val="both"/>
        <w:rPr>
          <w:rFonts w:ascii="Calibri" w:hAnsi="Calibri" w:cs="Arial"/>
          <w:bCs/>
          <w:sz w:val="22"/>
          <w:szCs w:val="22"/>
        </w:rPr>
      </w:pPr>
      <w:r>
        <w:rPr>
          <w:rFonts w:ascii="Calibri" w:hAnsi="Calibri" w:cs="Arial"/>
          <w:bCs/>
          <w:sz w:val="22"/>
          <w:szCs w:val="22"/>
        </w:rPr>
        <w:t xml:space="preserve">El mantenimiento de los vehículos de emergencia. Se recoge las revisiones anuales necesarias de los vehículos (AEA, BUP, </w:t>
      </w:r>
      <w:proofErr w:type="gramStart"/>
      <w:r>
        <w:rPr>
          <w:rFonts w:ascii="Calibri" w:hAnsi="Calibri" w:cs="Arial"/>
          <w:bCs/>
          <w:sz w:val="22"/>
          <w:szCs w:val="22"/>
        </w:rPr>
        <w:t>URE,…</w:t>
      </w:r>
      <w:proofErr w:type="gramEnd"/>
      <w:r>
        <w:rPr>
          <w:rFonts w:ascii="Calibri" w:hAnsi="Calibri" w:cs="Arial"/>
          <w:bCs/>
          <w:sz w:val="22"/>
          <w:szCs w:val="22"/>
        </w:rPr>
        <w:t>) y sus repuestos, así como el combustible, los seguros, etc.</w:t>
      </w:r>
    </w:p>
    <w:p w14:paraId="2B141267" w14:textId="77777777" w:rsidR="00A20480" w:rsidRDefault="00A20480" w:rsidP="00A20480">
      <w:pPr>
        <w:pStyle w:val="Prrafodelista"/>
        <w:numPr>
          <w:ilvl w:val="0"/>
          <w:numId w:val="7"/>
        </w:numPr>
        <w:spacing w:beforeLines="120" w:before="288" w:line="300" w:lineRule="auto"/>
        <w:ind w:left="720" w:firstLine="709"/>
        <w:jc w:val="both"/>
        <w:rPr>
          <w:rFonts w:ascii="Calibri" w:hAnsi="Calibri" w:cs="Arial"/>
          <w:bCs/>
          <w:sz w:val="22"/>
          <w:szCs w:val="22"/>
        </w:rPr>
      </w:pPr>
      <w:r>
        <w:rPr>
          <w:rFonts w:ascii="Calibri" w:hAnsi="Calibri" w:cs="Arial"/>
          <w:bCs/>
          <w:sz w:val="22"/>
          <w:szCs w:val="22"/>
        </w:rPr>
        <w:lastRenderedPageBreak/>
        <w:t>El suministro y mantenimiento del vestuario y equipamiento de seguridad personal, y del material técnico operativo.</w:t>
      </w:r>
    </w:p>
    <w:p w14:paraId="3C12B942" w14:textId="77777777" w:rsidR="00A20480" w:rsidRDefault="00A20480" w:rsidP="00A20480">
      <w:pPr>
        <w:spacing w:beforeLines="120" w:before="288" w:line="300" w:lineRule="auto"/>
        <w:ind w:firstLine="709"/>
        <w:jc w:val="both"/>
        <w:rPr>
          <w:rFonts w:ascii="Calibri" w:hAnsi="Calibri" w:cs="Arial"/>
          <w:bCs/>
          <w:sz w:val="22"/>
          <w:szCs w:val="22"/>
        </w:rPr>
      </w:pPr>
      <w:r>
        <w:rPr>
          <w:rFonts w:ascii="Calibri" w:hAnsi="Calibri" w:cs="Arial"/>
          <w:bCs/>
          <w:sz w:val="22"/>
          <w:szCs w:val="22"/>
        </w:rPr>
        <w:t>Además de los gastos citados, en este capítulo también se encuentran otros gastos como prensa y comunicación, telefonía o mantenimientos de equipos y programas informáticos.</w:t>
      </w:r>
    </w:p>
    <w:p w14:paraId="3559E987" w14:textId="77777777" w:rsidR="00A20480" w:rsidRDefault="00A20480" w:rsidP="00A20480">
      <w:pPr>
        <w:spacing w:beforeLines="120" w:before="288" w:line="300" w:lineRule="auto"/>
        <w:ind w:firstLine="709"/>
        <w:jc w:val="both"/>
        <w:rPr>
          <w:rFonts w:ascii="Calibri" w:hAnsi="Calibri" w:cs="Arial"/>
          <w:bCs/>
          <w:color w:val="FF0000"/>
          <w:sz w:val="22"/>
          <w:szCs w:val="22"/>
        </w:rPr>
      </w:pPr>
      <w:r>
        <w:rPr>
          <w:rFonts w:ascii="Calibri" w:hAnsi="Calibri" w:cs="Arial"/>
          <w:bCs/>
          <w:sz w:val="22"/>
          <w:szCs w:val="22"/>
        </w:rPr>
        <w:t xml:space="preserve">El Capítulo II aumenta con respecto al ejercicio en 144.695,58 euros, un 8,99%, siendo el peso del capítulo II en el total del Presupuesto de gastos del 8,64%. </w:t>
      </w:r>
    </w:p>
    <w:p w14:paraId="55609DA2" w14:textId="77777777" w:rsidR="00A20480" w:rsidRDefault="00A20480" w:rsidP="00A20480">
      <w:pPr>
        <w:spacing w:before="120" w:line="300" w:lineRule="auto"/>
        <w:ind w:firstLine="709"/>
        <w:jc w:val="both"/>
        <w:rPr>
          <w:rFonts w:ascii="Calibri" w:hAnsi="Calibri" w:cs="Arial"/>
          <w:bCs/>
          <w:color w:val="FF0000"/>
          <w:sz w:val="22"/>
          <w:szCs w:val="22"/>
        </w:rPr>
      </w:pPr>
    </w:p>
    <w:p w14:paraId="768C3587"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 xml:space="preserve">En el </w:t>
      </w:r>
      <w:r>
        <w:rPr>
          <w:rFonts w:ascii="Calibri" w:hAnsi="Calibri" w:cs="Arial"/>
          <w:b/>
          <w:bCs/>
          <w:sz w:val="22"/>
          <w:szCs w:val="22"/>
          <w:u w:val="single"/>
        </w:rPr>
        <w:t>Capítulo III</w:t>
      </w:r>
      <w:r>
        <w:rPr>
          <w:rFonts w:ascii="Calibri" w:hAnsi="Calibri" w:cs="Arial"/>
          <w:bCs/>
          <w:sz w:val="22"/>
          <w:szCs w:val="22"/>
        </w:rPr>
        <w:t xml:space="preserve"> se incluye la aplicación para gastos financieros, exclusivamente para gastos por servicios bancarios, ya que el Consorcio no tiene concertadas operaciones de crédito ni a largo ni a corto plazo con entidades bancarias.</w:t>
      </w:r>
    </w:p>
    <w:p w14:paraId="7BEE6889"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 xml:space="preserve">Las nuevas condiciones de las entidades financieras con respecto al precio por el servicio de custodia y guarda de los fondos depositados, consistente en aplicar el porcentaje del 0,5% sobre las cantidades que excedan del saldo medio de 3.500.000 euros, hacen que el capítulo III para este ejercicio ascienda a 23.010,00 euros, es decir, el 0,11% del total del Presupuesto de gastos. </w:t>
      </w:r>
    </w:p>
    <w:p w14:paraId="042D5093" w14:textId="77777777" w:rsidR="00A20480" w:rsidRDefault="00A20480" w:rsidP="00A20480">
      <w:pPr>
        <w:spacing w:before="120" w:line="300" w:lineRule="auto"/>
        <w:ind w:firstLine="709"/>
        <w:jc w:val="both"/>
        <w:rPr>
          <w:rFonts w:ascii="Calibri" w:hAnsi="Calibri" w:cs="Arial"/>
          <w:bCs/>
          <w:sz w:val="22"/>
          <w:szCs w:val="22"/>
        </w:rPr>
      </w:pPr>
    </w:p>
    <w:p w14:paraId="5978D42B"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 xml:space="preserve">El </w:t>
      </w:r>
      <w:r>
        <w:rPr>
          <w:rFonts w:ascii="Calibri" w:hAnsi="Calibri" w:cs="Arial"/>
          <w:b/>
          <w:bCs/>
          <w:sz w:val="22"/>
          <w:szCs w:val="22"/>
          <w:u w:val="single"/>
        </w:rPr>
        <w:t>Capítulo IV</w:t>
      </w:r>
      <w:r>
        <w:rPr>
          <w:rFonts w:ascii="Calibri" w:hAnsi="Calibri" w:cs="Arial"/>
          <w:bCs/>
          <w:sz w:val="22"/>
          <w:szCs w:val="22"/>
        </w:rPr>
        <w:t xml:space="preserve"> está formado por las subvenciones a las Asociaciones de Bomberos Voluntarios y a la Asociación Deportiva. Además, se incluye la cuota social de la Asociación de Consorcios de Bomberos de España (</w:t>
      </w:r>
      <w:proofErr w:type="spellStart"/>
      <w:r>
        <w:rPr>
          <w:rFonts w:ascii="Calibri" w:hAnsi="Calibri" w:cs="Arial"/>
          <w:bCs/>
          <w:sz w:val="22"/>
          <w:szCs w:val="22"/>
        </w:rPr>
        <w:t>ConBe</w:t>
      </w:r>
      <w:proofErr w:type="spellEnd"/>
      <w:r>
        <w:rPr>
          <w:rFonts w:ascii="Calibri" w:hAnsi="Calibri" w:cs="Arial"/>
          <w:bCs/>
          <w:sz w:val="22"/>
          <w:szCs w:val="22"/>
        </w:rPr>
        <w:t xml:space="preserve">). </w:t>
      </w:r>
    </w:p>
    <w:p w14:paraId="0B705B61"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Para este ejercicio 2021, el Cabildo de Tenerife, igual que en el ejercicio anterior, ha concedido a este Consorcio una aportación específica de corriente para las Asociaciones de Bomberos Voluntarios, por un importe de 100.000 euros, por lo que la cantidad total a subvencionar a estas asociaciones es de 328.427,00 euros.</w:t>
      </w:r>
    </w:p>
    <w:p w14:paraId="706E3EF9"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La subvención a la Asociación Deportiva permanece invariable, 10.000,00 euros anuales.</w:t>
      </w:r>
    </w:p>
    <w:p w14:paraId="5072D323"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Todas estas subvenciones son nominativas y están detalladas en el Anexo I de este Presupuesto. Este capítulo experimenta una disminución de 9.640,00 euros con respecto al ejercicio 2020, lo que supone un 2,76% menos.</w:t>
      </w:r>
    </w:p>
    <w:p w14:paraId="601AC925" w14:textId="77777777" w:rsidR="00A20480" w:rsidRDefault="00A20480" w:rsidP="00A20480">
      <w:pPr>
        <w:spacing w:before="120" w:line="300" w:lineRule="auto"/>
        <w:ind w:firstLine="709"/>
        <w:jc w:val="both"/>
        <w:rPr>
          <w:rFonts w:ascii="Calibri" w:hAnsi="Calibri" w:cs="Arial"/>
          <w:bCs/>
          <w:sz w:val="22"/>
          <w:szCs w:val="22"/>
        </w:rPr>
      </w:pPr>
    </w:p>
    <w:p w14:paraId="7EA36BB3"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 xml:space="preserve">El </w:t>
      </w:r>
      <w:r>
        <w:rPr>
          <w:rFonts w:ascii="Calibri" w:hAnsi="Calibri" w:cs="Arial"/>
          <w:b/>
          <w:bCs/>
          <w:sz w:val="22"/>
          <w:szCs w:val="22"/>
          <w:u w:val="single"/>
        </w:rPr>
        <w:t>Capítulo VI</w:t>
      </w:r>
      <w:r>
        <w:rPr>
          <w:rFonts w:ascii="Calibri" w:hAnsi="Calibri" w:cs="Arial"/>
          <w:bCs/>
          <w:sz w:val="22"/>
          <w:szCs w:val="22"/>
        </w:rPr>
        <w:t xml:space="preserve"> del Presupuesto de 2021 experimenta por tercer año consecutivo una disminución con respecto al ejercicio anterior, un 24,43%, lo que se traduce en 403.360,12 euros menos. </w:t>
      </w:r>
    </w:p>
    <w:p w14:paraId="5E67BB5F" w14:textId="77777777" w:rsidR="00A20480" w:rsidRDefault="00A20480" w:rsidP="00A20480">
      <w:pPr>
        <w:spacing w:before="120" w:line="300" w:lineRule="auto"/>
        <w:ind w:firstLine="709"/>
        <w:jc w:val="both"/>
        <w:rPr>
          <w:rFonts w:ascii="Calibri" w:hAnsi="Calibri" w:cs="Arial"/>
          <w:bCs/>
          <w:sz w:val="22"/>
          <w:szCs w:val="22"/>
          <w:highlight w:val="yellow"/>
        </w:rPr>
      </w:pPr>
      <w:r>
        <w:rPr>
          <w:rFonts w:ascii="Calibri" w:hAnsi="Calibri" w:cs="Arial"/>
          <w:bCs/>
          <w:sz w:val="22"/>
          <w:szCs w:val="22"/>
        </w:rPr>
        <w:lastRenderedPageBreak/>
        <w:t>Como ya se explicó en el capítulo VII de ingresos, en el ejercicio 2021 se vuelve a presupuestar la cantidad de 378.990 euros, para la habilitación de la nave que será destinada al nuevo Parque de Bomberos de Güímar, debido a no haber podido justificar la subvención otorgada en 2018.</w:t>
      </w:r>
    </w:p>
    <w:p w14:paraId="4C8C0367"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En el presente ejercicio se tiene previsto realizar inversiones por importe total de 1.247.735,80 euros, que a continuación se detallan:</w:t>
      </w:r>
    </w:p>
    <w:p w14:paraId="326B62BB" w14:textId="77777777" w:rsidR="00A20480" w:rsidRDefault="00A20480" w:rsidP="00A20480">
      <w:pPr>
        <w:spacing w:before="120" w:line="300" w:lineRule="auto"/>
        <w:ind w:firstLine="709"/>
        <w:jc w:val="both"/>
        <w:rPr>
          <w:rFonts w:ascii="Calibri" w:hAnsi="Calibri" w:cs="Arial"/>
          <w:bCs/>
          <w:sz w:val="22"/>
          <w:szCs w:val="22"/>
        </w:rPr>
      </w:pPr>
    </w:p>
    <w:tbl>
      <w:tblPr>
        <w:tblW w:w="8538" w:type="dxa"/>
        <w:tblCellMar>
          <w:left w:w="70" w:type="dxa"/>
          <w:right w:w="70" w:type="dxa"/>
        </w:tblCellMar>
        <w:tblLook w:val="04A0" w:firstRow="1" w:lastRow="0" w:firstColumn="1" w:lastColumn="0" w:noHBand="0" w:noVBand="1"/>
      </w:tblPr>
      <w:tblGrid>
        <w:gridCol w:w="7230"/>
        <w:gridCol w:w="1308"/>
      </w:tblGrid>
      <w:tr w:rsidR="00A20480" w14:paraId="10B60395" w14:textId="77777777" w:rsidTr="00A20480">
        <w:trPr>
          <w:trHeight w:val="315"/>
        </w:trPr>
        <w:tc>
          <w:tcPr>
            <w:tcW w:w="7230" w:type="dxa"/>
            <w:tcBorders>
              <w:top w:val="nil"/>
              <w:left w:val="nil"/>
              <w:bottom w:val="single" w:sz="8" w:space="0" w:color="auto"/>
              <w:right w:val="single" w:sz="8" w:space="0" w:color="auto"/>
            </w:tcBorders>
            <w:noWrap/>
            <w:vAlign w:val="center"/>
            <w:hideMark/>
          </w:tcPr>
          <w:p w14:paraId="5CB77161" w14:textId="77777777" w:rsidR="00A20480" w:rsidRDefault="00A20480">
            <w:pPr>
              <w:autoSpaceDE/>
              <w:rPr>
                <w:rFonts w:ascii="Calibri" w:hAnsi="Calibri"/>
                <w:color w:val="FF0000"/>
                <w:sz w:val="22"/>
                <w:szCs w:val="22"/>
              </w:rPr>
            </w:pPr>
            <w:r>
              <w:rPr>
                <w:rFonts w:ascii="Calibri" w:hAnsi="Calibri"/>
                <w:color w:val="FF0000"/>
                <w:sz w:val="22"/>
                <w:szCs w:val="22"/>
              </w:rPr>
              <w:t> </w:t>
            </w:r>
          </w:p>
        </w:tc>
        <w:tc>
          <w:tcPr>
            <w:tcW w:w="1308" w:type="dxa"/>
            <w:tcBorders>
              <w:top w:val="single" w:sz="8" w:space="0" w:color="auto"/>
              <w:left w:val="nil"/>
              <w:bottom w:val="single" w:sz="8" w:space="0" w:color="auto"/>
              <w:right w:val="single" w:sz="8" w:space="0" w:color="auto"/>
            </w:tcBorders>
            <w:shd w:val="clear" w:color="auto" w:fill="DDEBF7"/>
            <w:noWrap/>
            <w:vAlign w:val="center"/>
            <w:hideMark/>
          </w:tcPr>
          <w:p w14:paraId="04858117" w14:textId="77777777" w:rsidR="00A20480" w:rsidRDefault="00A20480">
            <w:pPr>
              <w:autoSpaceDE/>
              <w:jc w:val="center"/>
              <w:rPr>
                <w:rFonts w:ascii="Arial" w:hAnsi="Arial" w:cs="Arial"/>
                <w:b/>
                <w:bCs/>
                <w:sz w:val="22"/>
                <w:szCs w:val="22"/>
              </w:rPr>
            </w:pPr>
            <w:r>
              <w:rPr>
                <w:rFonts w:ascii="Arial" w:hAnsi="Arial" w:cs="Arial"/>
                <w:b/>
                <w:bCs/>
                <w:sz w:val="22"/>
                <w:szCs w:val="22"/>
              </w:rPr>
              <w:t>2021</w:t>
            </w:r>
          </w:p>
        </w:tc>
      </w:tr>
      <w:tr w:rsidR="00A20480" w14:paraId="4E7BD3CA"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31B435C2" w14:textId="77777777" w:rsidR="00A20480" w:rsidRDefault="00A20480">
            <w:pPr>
              <w:autoSpaceDE/>
              <w:jc w:val="center"/>
              <w:rPr>
                <w:rFonts w:ascii="Arial" w:hAnsi="Arial" w:cs="Arial"/>
                <w:b/>
                <w:bCs/>
              </w:rPr>
            </w:pPr>
            <w:r>
              <w:rPr>
                <w:rFonts w:ascii="Arial" w:hAnsi="Arial" w:cs="Arial"/>
                <w:b/>
                <w:bCs/>
              </w:rPr>
              <w:t>EDIFICIOS Y OTRAS CONTRUCCIONES</w:t>
            </w:r>
          </w:p>
        </w:tc>
        <w:tc>
          <w:tcPr>
            <w:tcW w:w="1308" w:type="dxa"/>
            <w:tcBorders>
              <w:top w:val="single" w:sz="8" w:space="0" w:color="auto"/>
              <w:left w:val="nil"/>
              <w:bottom w:val="single" w:sz="8" w:space="0" w:color="auto"/>
              <w:right w:val="single" w:sz="8" w:space="0" w:color="auto"/>
            </w:tcBorders>
            <w:shd w:val="clear" w:color="auto" w:fill="DDEBF7"/>
            <w:noWrap/>
            <w:vAlign w:val="center"/>
            <w:hideMark/>
          </w:tcPr>
          <w:p w14:paraId="697F2A04" w14:textId="77777777" w:rsidR="00A20480" w:rsidRDefault="00A20480">
            <w:pPr>
              <w:autoSpaceDE/>
              <w:jc w:val="right"/>
              <w:rPr>
                <w:rFonts w:ascii="Arial" w:hAnsi="Arial" w:cs="Arial"/>
                <w:b/>
                <w:bCs/>
              </w:rPr>
            </w:pPr>
            <w:r>
              <w:rPr>
                <w:rFonts w:ascii="Arial" w:hAnsi="Arial" w:cs="Arial"/>
                <w:b/>
                <w:bCs/>
              </w:rPr>
              <w:t>418.000,00</w:t>
            </w:r>
          </w:p>
        </w:tc>
      </w:tr>
      <w:tr w:rsidR="00A20480" w14:paraId="335EE098" w14:textId="77777777" w:rsidTr="00A20480">
        <w:trPr>
          <w:trHeight w:val="300"/>
        </w:trPr>
        <w:tc>
          <w:tcPr>
            <w:tcW w:w="7230" w:type="dxa"/>
            <w:tcBorders>
              <w:top w:val="single" w:sz="4" w:space="0" w:color="auto"/>
              <w:left w:val="nil"/>
              <w:bottom w:val="single" w:sz="4" w:space="0" w:color="auto"/>
              <w:right w:val="nil"/>
            </w:tcBorders>
            <w:noWrap/>
            <w:vAlign w:val="bottom"/>
            <w:hideMark/>
          </w:tcPr>
          <w:p w14:paraId="7F78BB47" w14:textId="77777777" w:rsidR="00A20480" w:rsidRDefault="00A20480">
            <w:pPr>
              <w:autoSpaceDE/>
              <w:ind w:firstLineChars="100" w:firstLine="180"/>
              <w:rPr>
                <w:rFonts w:ascii="Arial" w:hAnsi="Arial" w:cs="Arial"/>
                <w:sz w:val="18"/>
                <w:szCs w:val="18"/>
              </w:rPr>
            </w:pPr>
            <w:r>
              <w:rPr>
                <w:rFonts w:ascii="Arial" w:hAnsi="Arial" w:cs="Arial"/>
                <w:sz w:val="18"/>
                <w:szCs w:val="18"/>
              </w:rPr>
              <w:t>Redacción del Proyecto PB Arona</w:t>
            </w:r>
          </w:p>
        </w:tc>
        <w:tc>
          <w:tcPr>
            <w:tcW w:w="1308" w:type="dxa"/>
            <w:tcBorders>
              <w:top w:val="single" w:sz="4" w:space="0" w:color="auto"/>
              <w:left w:val="nil"/>
              <w:bottom w:val="single" w:sz="4" w:space="0" w:color="auto"/>
              <w:right w:val="nil"/>
            </w:tcBorders>
            <w:noWrap/>
            <w:vAlign w:val="bottom"/>
            <w:hideMark/>
          </w:tcPr>
          <w:p w14:paraId="55B59D42"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 xml:space="preserve">70.000,00 </w:t>
            </w:r>
          </w:p>
        </w:tc>
      </w:tr>
      <w:tr w:rsidR="00A20480" w14:paraId="7B292B6E" w14:textId="77777777" w:rsidTr="00A20480">
        <w:trPr>
          <w:trHeight w:val="300"/>
        </w:trPr>
        <w:tc>
          <w:tcPr>
            <w:tcW w:w="7230" w:type="dxa"/>
            <w:tcBorders>
              <w:top w:val="single" w:sz="4" w:space="0" w:color="auto"/>
              <w:left w:val="nil"/>
              <w:bottom w:val="single" w:sz="4" w:space="0" w:color="auto"/>
              <w:right w:val="nil"/>
            </w:tcBorders>
            <w:noWrap/>
            <w:vAlign w:val="bottom"/>
            <w:hideMark/>
          </w:tcPr>
          <w:p w14:paraId="59DAE51C" w14:textId="77777777" w:rsidR="00A20480" w:rsidRDefault="00A20480">
            <w:pPr>
              <w:autoSpaceDE/>
              <w:ind w:firstLineChars="100" w:firstLine="180"/>
              <w:rPr>
                <w:rFonts w:ascii="Arial" w:hAnsi="Arial" w:cs="Arial"/>
                <w:sz w:val="18"/>
                <w:szCs w:val="18"/>
              </w:rPr>
            </w:pPr>
            <w:r>
              <w:rPr>
                <w:rFonts w:ascii="Arial" w:hAnsi="Arial" w:cs="Arial"/>
                <w:sz w:val="18"/>
                <w:szCs w:val="18"/>
              </w:rPr>
              <w:t>Redacción del Proyecto PB Guía de Isora</w:t>
            </w:r>
          </w:p>
        </w:tc>
        <w:tc>
          <w:tcPr>
            <w:tcW w:w="1308" w:type="dxa"/>
            <w:tcBorders>
              <w:top w:val="single" w:sz="4" w:space="0" w:color="auto"/>
              <w:left w:val="nil"/>
              <w:bottom w:val="single" w:sz="4" w:space="0" w:color="auto"/>
              <w:right w:val="nil"/>
            </w:tcBorders>
            <w:noWrap/>
            <w:vAlign w:val="bottom"/>
            <w:hideMark/>
          </w:tcPr>
          <w:p w14:paraId="3D943E5C"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 xml:space="preserve">70.000,00 </w:t>
            </w:r>
          </w:p>
        </w:tc>
      </w:tr>
      <w:tr w:rsidR="00A20480" w14:paraId="6C1857BB" w14:textId="77777777" w:rsidTr="00A20480">
        <w:trPr>
          <w:trHeight w:val="300"/>
        </w:trPr>
        <w:tc>
          <w:tcPr>
            <w:tcW w:w="7230" w:type="dxa"/>
            <w:tcBorders>
              <w:top w:val="single" w:sz="4" w:space="0" w:color="auto"/>
              <w:left w:val="nil"/>
              <w:bottom w:val="single" w:sz="4" w:space="0" w:color="auto"/>
              <w:right w:val="nil"/>
            </w:tcBorders>
            <w:noWrap/>
            <w:vAlign w:val="bottom"/>
            <w:hideMark/>
          </w:tcPr>
          <w:p w14:paraId="75741D42" w14:textId="77777777" w:rsidR="00A20480" w:rsidRDefault="00A20480">
            <w:pPr>
              <w:autoSpaceDE/>
              <w:ind w:firstLineChars="100" w:firstLine="180"/>
              <w:rPr>
                <w:rFonts w:ascii="Arial" w:hAnsi="Arial" w:cs="Arial"/>
                <w:sz w:val="18"/>
                <w:szCs w:val="18"/>
              </w:rPr>
            </w:pPr>
            <w:r>
              <w:rPr>
                <w:rFonts w:ascii="Arial" w:hAnsi="Arial" w:cs="Arial"/>
                <w:sz w:val="18"/>
                <w:szCs w:val="18"/>
              </w:rPr>
              <w:t>Bombas de calor en las dependencias del PB Orotava</w:t>
            </w:r>
          </w:p>
        </w:tc>
        <w:tc>
          <w:tcPr>
            <w:tcW w:w="1308" w:type="dxa"/>
            <w:tcBorders>
              <w:top w:val="single" w:sz="4" w:space="0" w:color="auto"/>
              <w:left w:val="nil"/>
              <w:bottom w:val="single" w:sz="4" w:space="0" w:color="auto"/>
              <w:right w:val="nil"/>
            </w:tcBorders>
            <w:noWrap/>
            <w:vAlign w:val="bottom"/>
            <w:hideMark/>
          </w:tcPr>
          <w:p w14:paraId="02936863"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 xml:space="preserve">10.000,00 </w:t>
            </w:r>
          </w:p>
        </w:tc>
      </w:tr>
      <w:tr w:rsidR="00A20480" w14:paraId="76E9C414" w14:textId="77777777" w:rsidTr="00A20480">
        <w:trPr>
          <w:trHeight w:val="300"/>
        </w:trPr>
        <w:tc>
          <w:tcPr>
            <w:tcW w:w="7230" w:type="dxa"/>
            <w:tcBorders>
              <w:top w:val="single" w:sz="4" w:space="0" w:color="auto"/>
              <w:left w:val="nil"/>
              <w:bottom w:val="single" w:sz="4" w:space="0" w:color="auto"/>
              <w:right w:val="nil"/>
            </w:tcBorders>
            <w:noWrap/>
            <w:vAlign w:val="bottom"/>
            <w:hideMark/>
          </w:tcPr>
          <w:p w14:paraId="7CEAA2DC" w14:textId="77777777" w:rsidR="00A20480" w:rsidRDefault="00A20480">
            <w:pPr>
              <w:autoSpaceDE/>
              <w:ind w:firstLineChars="100" w:firstLine="180"/>
              <w:rPr>
                <w:rFonts w:ascii="Arial" w:hAnsi="Arial" w:cs="Arial"/>
                <w:sz w:val="18"/>
                <w:szCs w:val="18"/>
              </w:rPr>
            </w:pPr>
            <w:r>
              <w:rPr>
                <w:rFonts w:ascii="Arial" w:hAnsi="Arial" w:cs="Arial"/>
                <w:sz w:val="18"/>
                <w:szCs w:val="18"/>
              </w:rPr>
              <w:t>Control de acceso al PB Orotava</w:t>
            </w:r>
          </w:p>
        </w:tc>
        <w:tc>
          <w:tcPr>
            <w:tcW w:w="1308" w:type="dxa"/>
            <w:tcBorders>
              <w:top w:val="single" w:sz="4" w:space="0" w:color="auto"/>
              <w:left w:val="nil"/>
              <w:bottom w:val="single" w:sz="4" w:space="0" w:color="auto"/>
              <w:right w:val="nil"/>
            </w:tcBorders>
            <w:noWrap/>
            <w:vAlign w:val="bottom"/>
            <w:hideMark/>
          </w:tcPr>
          <w:p w14:paraId="5076C17D"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 xml:space="preserve">1.500,00 </w:t>
            </w:r>
          </w:p>
        </w:tc>
      </w:tr>
      <w:tr w:rsidR="00A20480" w14:paraId="37B2471C" w14:textId="77777777" w:rsidTr="00A20480">
        <w:trPr>
          <w:trHeight w:val="300"/>
        </w:trPr>
        <w:tc>
          <w:tcPr>
            <w:tcW w:w="7230" w:type="dxa"/>
            <w:tcBorders>
              <w:top w:val="single" w:sz="4" w:space="0" w:color="auto"/>
              <w:left w:val="nil"/>
              <w:bottom w:val="single" w:sz="4" w:space="0" w:color="auto"/>
              <w:right w:val="nil"/>
            </w:tcBorders>
            <w:noWrap/>
            <w:vAlign w:val="bottom"/>
            <w:hideMark/>
          </w:tcPr>
          <w:p w14:paraId="01143425" w14:textId="77777777" w:rsidR="00A20480" w:rsidRDefault="00A20480">
            <w:pPr>
              <w:autoSpaceDE/>
              <w:ind w:firstLineChars="100" w:firstLine="180"/>
              <w:rPr>
                <w:rFonts w:ascii="Arial" w:hAnsi="Arial" w:cs="Arial"/>
                <w:sz w:val="18"/>
                <w:szCs w:val="18"/>
              </w:rPr>
            </w:pPr>
            <w:r>
              <w:rPr>
                <w:rFonts w:ascii="Arial" w:hAnsi="Arial" w:cs="Arial"/>
                <w:sz w:val="18"/>
                <w:szCs w:val="18"/>
              </w:rPr>
              <w:t>Instalación sensores de luces cochera de PB Orotava</w:t>
            </w:r>
          </w:p>
        </w:tc>
        <w:tc>
          <w:tcPr>
            <w:tcW w:w="1308" w:type="dxa"/>
            <w:tcBorders>
              <w:top w:val="single" w:sz="4" w:space="0" w:color="auto"/>
              <w:left w:val="nil"/>
              <w:bottom w:val="single" w:sz="4" w:space="0" w:color="auto"/>
              <w:right w:val="nil"/>
            </w:tcBorders>
            <w:noWrap/>
            <w:vAlign w:val="bottom"/>
            <w:hideMark/>
          </w:tcPr>
          <w:p w14:paraId="7F213319"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 xml:space="preserve">2.000,00 </w:t>
            </w:r>
          </w:p>
        </w:tc>
      </w:tr>
      <w:tr w:rsidR="00A20480" w14:paraId="085FC86C" w14:textId="77777777" w:rsidTr="00A20480">
        <w:trPr>
          <w:trHeight w:val="300"/>
        </w:trPr>
        <w:tc>
          <w:tcPr>
            <w:tcW w:w="7230" w:type="dxa"/>
            <w:tcBorders>
              <w:top w:val="single" w:sz="4" w:space="0" w:color="auto"/>
              <w:left w:val="nil"/>
              <w:bottom w:val="single" w:sz="4" w:space="0" w:color="auto"/>
              <w:right w:val="nil"/>
            </w:tcBorders>
            <w:noWrap/>
            <w:vAlign w:val="bottom"/>
            <w:hideMark/>
          </w:tcPr>
          <w:p w14:paraId="4D5EDA4F" w14:textId="77777777" w:rsidR="00A20480" w:rsidRDefault="00A20480">
            <w:pPr>
              <w:autoSpaceDE/>
              <w:ind w:firstLineChars="100" w:firstLine="180"/>
              <w:rPr>
                <w:rFonts w:ascii="Arial" w:hAnsi="Arial" w:cs="Arial"/>
                <w:sz w:val="18"/>
                <w:szCs w:val="18"/>
              </w:rPr>
            </w:pPr>
            <w:r>
              <w:rPr>
                <w:rFonts w:ascii="Arial" w:hAnsi="Arial" w:cs="Arial"/>
                <w:sz w:val="18"/>
                <w:szCs w:val="18"/>
              </w:rPr>
              <w:t>Conexión grupo electrógeno res del PB Icod</w:t>
            </w:r>
          </w:p>
        </w:tc>
        <w:tc>
          <w:tcPr>
            <w:tcW w:w="1308" w:type="dxa"/>
            <w:tcBorders>
              <w:top w:val="single" w:sz="4" w:space="0" w:color="auto"/>
              <w:left w:val="nil"/>
              <w:bottom w:val="single" w:sz="4" w:space="0" w:color="auto"/>
              <w:right w:val="nil"/>
            </w:tcBorders>
            <w:noWrap/>
            <w:vAlign w:val="bottom"/>
            <w:hideMark/>
          </w:tcPr>
          <w:p w14:paraId="4AE9DA12"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 xml:space="preserve">7.000,00 </w:t>
            </w:r>
          </w:p>
        </w:tc>
      </w:tr>
      <w:tr w:rsidR="00A20480" w14:paraId="7CACB6A9" w14:textId="77777777" w:rsidTr="00A20480">
        <w:trPr>
          <w:trHeight w:val="300"/>
        </w:trPr>
        <w:tc>
          <w:tcPr>
            <w:tcW w:w="7230" w:type="dxa"/>
            <w:tcBorders>
              <w:top w:val="single" w:sz="4" w:space="0" w:color="auto"/>
              <w:left w:val="nil"/>
              <w:bottom w:val="single" w:sz="4" w:space="0" w:color="auto"/>
              <w:right w:val="nil"/>
            </w:tcBorders>
            <w:noWrap/>
            <w:vAlign w:val="bottom"/>
            <w:hideMark/>
          </w:tcPr>
          <w:p w14:paraId="5D988F94" w14:textId="77777777" w:rsidR="00A20480" w:rsidRDefault="00A20480">
            <w:pPr>
              <w:autoSpaceDE/>
              <w:ind w:firstLineChars="100" w:firstLine="180"/>
              <w:rPr>
                <w:rFonts w:ascii="Arial" w:hAnsi="Arial" w:cs="Arial"/>
                <w:sz w:val="18"/>
                <w:szCs w:val="18"/>
              </w:rPr>
            </w:pPr>
            <w:r>
              <w:rPr>
                <w:rFonts w:ascii="Arial" w:hAnsi="Arial" w:cs="Arial"/>
                <w:sz w:val="18"/>
                <w:szCs w:val="18"/>
              </w:rPr>
              <w:t>Bombas de calor en las dependencias del PB Icod</w:t>
            </w:r>
          </w:p>
        </w:tc>
        <w:tc>
          <w:tcPr>
            <w:tcW w:w="1308" w:type="dxa"/>
            <w:tcBorders>
              <w:top w:val="single" w:sz="4" w:space="0" w:color="auto"/>
              <w:left w:val="nil"/>
              <w:bottom w:val="single" w:sz="4" w:space="0" w:color="auto"/>
              <w:right w:val="nil"/>
            </w:tcBorders>
            <w:noWrap/>
            <w:vAlign w:val="bottom"/>
            <w:hideMark/>
          </w:tcPr>
          <w:p w14:paraId="40C91162"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 xml:space="preserve">7.500,00 </w:t>
            </w:r>
          </w:p>
        </w:tc>
      </w:tr>
      <w:tr w:rsidR="00A20480" w14:paraId="691FE449" w14:textId="77777777" w:rsidTr="00A20480">
        <w:trPr>
          <w:trHeight w:val="315"/>
        </w:trPr>
        <w:tc>
          <w:tcPr>
            <w:tcW w:w="7230" w:type="dxa"/>
            <w:tcBorders>
              <w:top w:val="single" w:sz="4" w:space="0" w:color="auto"/>
              <w:left w:val="nil"/>
              <w:bottom w:val="single" w:sz="8" w:space="0" w:color="auto"/>
              <w:right w:val="nil"/>
            </w:tcBorders>
            <w:noWrap/>
            <w:vAlign w:val="center"/>
            <w:hideMark/>
          </w:tcPr>
          <w:p w14:paraId="08E87E57" w14:textId="77777777" w:rsidR="00A20480" w:rsidRDefault="00A20480">
            <w:pPr>
              <w:autoSpaceDE/>
              <w:ind w:firstLineChars="100" w:firstLine="180"/>
              <w:rPr>
                <w:rFonts w:ascii="Arial" w:hAnsi="Arial" w:cs="Arial"/>
                <w:sz w:val="18"/>
                <w:szCs w:val="18"/>
              </w:rPr>
            </w:pPr>
            <w:r>
              <w:rPr>
                <w:rFonts w:ascii="Arial" w:hAnsi="Arial" w:cs="Arial"/>
                <w:sz w:val="18"/>
                <w:szCs w:val="18"/>
              </w:rPr>
              <w:t>Rehabilitación Parque de Bomberos de Güímar</w:t>
            </w:r>
          </w:p>
        </w:tc>
        <w:tc>
          <w:tcPr>
            <w:tcW w:w="1308" w:type="dxa"/>
            <w:tcBorders>
              <w:top w:val="single" w:sz="4" w:space="0" w:color="auto"/>
              <w:left w:val="nil"/>
              <w:bottom w:val="single" w:sz="8" w:space="0" w:color="auto"/>
              <w:right w:val="nil"/>
            </w:tcBorders>
            <w:noWrap/>
            <w:vAlign w:val="bottom"/>
            <w:hideMark/>
          </w:tcPr>
          <w:p w14:paraId="5A437658" w14:textId="77777777" w:rsidR="00A20480" w:rsidRDefault="00A20480">
            <w:pPr>
              <w:autoSpaceDE/>
              <w:jc w:val="right"/>
              <w:rPr>
                <w:rFonts w:ascii="Arial" w:hAnsi="Arial" w:cs="Arial"/>
                <w:color w:val="000000"/>
                <w:sz w:val="18"/>
                <w:szCs w:val="18"/>
              </w:rPr>
            </w:pPr>
            <w:r>
              <w:rPr>
                <w:rFonts w:ascii="Arial" w:hAnsi="Arial" w:cs="Arial"/>
                <w:color w:val="000000"/>
                <w:sz w:val="18"/>
                <w:szCs w:val="18"/>
              </w:rPr>
              <w:t>250.000,00</w:t>
            </w:r>
          </w:p>
        </w:tc>
      </w:tr>
      <w:tr w:rsidR="00A20480" w14:paraId="7980C11C"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0785A7F4" w14:textId="77777777" w:rsidR="00A20480" w:rsidRDefault="00A20480">
            <w:pPr>
              <w:autoSpaceDE/>
              <w:jc w:val="center"/>
              <w:rPr>
                <w:rFonts w:ascii="Arial" w:hAnsi="Arial" w:cs="Arial"/>
                <w:b/>
                <w:bCs/>
              </w:rPr>
            </w:pPr>
            <w:r>
              <w:rPr>
                <w:rFonts w:ascii="Arial" w:hAnsi="Arial" w:cs="Arial"/>
                <w:b/>
                <w:bCs/>
              </w:rPr>
              <w:t>UTILLAJE</w:t>
            </w:r>
          </w:p>
        </w:tc>
        <w:tc>
          <w:tcPr>
            <w:tcW w:w="1308"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2D88F08B" w14:textId="77777777" w:rsidR="00A20480" w:rsidRDefault="00A20480">
            <w:pPr>
              <w:autoSpaceDE/>
              <w:jc w:val="right"/>
              <w:rPr>
                <w:rFonts w:ascii="Arial" w:hAnsi="Arial" w:cs="Arial"/>
                <w:b/>
                <w:bCs/>
              </w:rPr>
            </w:pPr>
            <w:r>
              <w:rPr>
                <w:rFonts w:ascii="Arial" w:hAnsi="Arial" w:cs="Arial"/>
                <w:b/>
                <w:bCs/>
              </w:rPr>
              <w:t>19.400,00</w:t>
            </w:r>
          </w:p>
        </w:tc>
      </w:tr>
      <w:tr w:rsidR="00A20480" w14:paraId="26049434" w14:textId="77777777" w:rsidTr="00A20480">
        <w:trPr>
          <w:trHeight w:val="300"/>
        </w:trPr>
        <w:tc>
          <w:tcPr>
            <w:tcW w:w="7230" w:type="dxa"/>
            <w:tcBorders>
              <w:top w:val="single" w:sz="8" w:space="0" w:color="auto"/>
              <w:left w:val="nil"/>
              <w:bottom w:val="single" w:sz="4" w:space="0" w:color="auto"/>
              <w:right w:val="nil"/>
            </w:tcBorders>
            <w:noWrap/>
            <w:vAlign w:val="center"/>
            <w:hideMark/>
          </w:tcPr>
          <w:p w14:paraId="5B7D4D5A" w14:textId="77777777" w:rsidR="00A20480" w:rsidRDefault="00A20480">
            <w:pPr>
              <w:autoSpaceDE/>
              <w:ind w:firstLineChars="100" w:firstLine="180"/>
              <w:rPr>
                <w:rFonts w:ascii="Arial" w:hAnsi="Arial" w:cs="Arial"/>
                <w:sz w:val="18"/>
                <w:szCs w:val="18"/>
              </w:rPr>
            </w:pPr>
            <w:r>
              <w:rPr>
                <w:rFonts w:ascii="Arial" w:hAnsi="Arial" w:cs="Arial"/>
                <w:sz w:val="18"/>
                <w:szCs w:val="18"/>
              </w:rPr>
              <w:t>Equipos excarcelación inalámbricos: Cizalla y separador de baterías (+ batería adicional)</w:t>
            </w:r>
          </w:p>
        </w:tc>
        <w:tc>
          <w:tcPr>
            <w:tcW w:w="1308" w:type="dxa"/>
            <w:tcBorders>
              <w:top w:val="single" w:sz="8" w:space="0" w:color="auto"/>
              <w:left w:val="nil"/>
              <w:bottom w:val="single" w:sz="4" w:space="0" w:color="auto"/>
              <w:right w:val="nil"/>
            </w:tcBorders>
            <w:noWrap/>
            <w:vAlign w:val="center"/>
            <w:hideMark/>
          </w:tcPr>
          <w:p w14:paraId="710D4B09" w14:textId="77777777" w:rsidR="00A20480" w:rsidRDefault="00A20480">
            <w:pPr>
              <w:autoSpaceDE/>
              <w:jc w:val="right"/>
              <w:rPr>
                <w:rFonts w:ascii="Arial" w:hAnsi="Arial" w:cs="Arial"/>
                <w:sz w:val="18"/>
                <w:szCs w:val="18"/>
              </w:rPr>
            </w:pPr>
            <w:r>
              <w:rPr>
                <w:rFonts w:ascii="Arial" w:hAnsi="Arial" w:cs="Arial"/>
                <w:sz w:val="18"/>
                <w:szCs w:val="18"/>
              </w:rPr>
              <w:t>17.000,00</w:t>
            </w:r>
          </w:p>
        </w:tc>
      </w:tr>
      <w:tr w:rsidR="00A20480" w14:paraId="23ACB630"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18B65327" w14:textId="77777777" w:rsidR="00A20480" w:rsidRDefault="00A20480">
            <w:pPr>
              <w:autoSpaceDE/>
              <w:ind w:firstLineChars="100" w:firstLine="180"/>
              <w:rPr>
                <w:rFonts w:ascii="Arial" w:hAnsi="Arial" w:cs="Arial"/>
                <w:sz w:val="18"/>
                <w:szCs w:val="18"/>
              </w:rPr>
            </w:pPr>
            <w:r>
              <w:rPr>
                <w:rFonts w:ascii="Arial" w:hAnsi="Arial" w:cs="Arial"/>
                <w:sz w:val="18"/>
                <w:szCs w:val="18"/>
              </w:rPr>
              <w:t>Martillo Eléctrico (todos los Parques)</w:t>
            </w:r>
          </w:p>
        </w:tc>
        <w:tc>
          <w:tcPr>
            <w:tcW w:w="1308" w:type="dxa"/>
            <w:tcBorders>
              <w:top w:val="single" w:sz="4" w:space="0" w:color="auto"/>
              <w:left w:val="nil"/>
              <w:bottom w:val="single" w:sz="4" w:space="0" w:color="auto"/>
              <w:right w:val="nil"/>
            </w:tcBorders>
            <w:noWrap/>
            <w:vAlign w:val="center"/>
            <w:hideMark/>
          </w:tcPr>
          <w:p w14:paraId="25A0C4DA" w14:textId="77777777" w:rsidR="00A20480" w:rsidRDefault="00A20480">
            <w:pPr>
              <w:autoSpaceDE/>
              <w:jc w:val="right"/>
              <w:rPr>
                <w:rFonts w:ascii="Arial" w:hAnsi="Arial" w:cs="Arial"/>
                <w:sz w:val="18"/>
                <w:szCs w:val="18"/>
              </w:rPr>
            </w:pPr>
            <w:r>
              <w:rPr>
                <w:rFonts w:ascii="Arial" w:hAnsi="Arial" w:cs="Arial"/>
                <w:sz w:val="18"/>
                <w:szCs w:val="18"/>
              </w:rPr>
              <w:t>1.200,00</w:t>
            </w:r>
          </w:p>
        </w:tc>
      </w:tr>
      <w:tr w:rsidR="00A20480" w14:paraId="6A32F912"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33D624DB" w14:textId="77777777" w:rsidR="00A20480" w:rsidRDefault="00A20480">
            <w:pPr>
              <w:autoSpaceDE/>
              <w:ind w:firstLineChars="100" w:firstLine="180"/>
              <w:rPr>
                <w:rFonts w:ascii="Arial" w:hAnsi="Arial" w:cs="Arial"/>
                <w:sz w:val="18"/>
                <w:szCs w:val="18"/>
              </w:rPr>
            </w:pPr>
            <w:r>
              <w:rPr>
                <w:rFonts w:ascii="Arial" w:hAnsi="Arial" w:cs="Arial"/>
                <w:sz w:val="18"/>
                <w:szCs w:val="18"/>
              </w:rPr>
              <w:t>Motosierras normales y de brazo largo (todos los Parques)</w:t>
            </w:r>
          </w:p>
        </w:tc>
        <w:tc>
          <w:tcPr>
            <w:tcW w:w="1308" w:type="dxa"/>
            <w:tcBorders>
              <w:top w:val="single" w:sz="4" w:space="0" w:color="auto"/>
              <w:left w:val="nil"/>
              <w:bottom w:val="single" w:sz="4" w:space="0" w:color="auto"/>
              <w:right w:val="nil"/>
            </w:tcBorders>
            <w:noWrap/>
            <w:vAlign w:val="center"/>
            <w:hideMark/>
          </w:tcPr>
          <w:p w14:paraId="3950C219" w14:textId="77777777" w:rsidR="00A20480" w:rsidRDefault="00A20480">
            <w:pPr>
              <w:autoSpaceDE/>
              <w:jc w:val="right"/>
              <w:rPr>
                <w:rFonts w:ascii="Arial" w:hAnsi="Arial" w:cs="Arial"/>
                <w:sz w:val="18"/>
                <w:szCs w:val="18"/>
              </w:rPr>
            </w:pPr>
            <w:r>
              <w:rPr>
                <w:rFonts w:ascii="Arial" w:hAnsi="Arial" w:cs="Arial"/>
                <w:sz w:val="18"/>
                <w:szCs w:val="18"/>
              </w:rPr>
              <w:t>750,00</w:t>
            </w:r>
          </w:p>
        </w:tc>
      </w:tr>
      <w:tr w:rsidR="00A20480" w14:paraId="06A0E442" w14:textId="77777777" w:rsidTr="00A20480">
        <w:trPr>
          <w:trHeight w:val="315"/>
        </w:trPr>
        <w:tc>
          <w:tcPr>
            <w:tcW w:w="7230" w:type="dxa"/>
            <w:tcBorders>
              <w:top w:val="single" w:sz="4" w:space="0" w:color="auto"/>
              <w:left w:val="nil"/>
              <w:bottom w:val="single" w:sz="8" w:space="0" w:color="auto"/>
              <w:right w:val="nil"/>
            </w:tcBorders>
            <w:noWrap/>
            <w:vAlign w:val="center"/>
            <w:hideMark/>
          </w:tcPr>
          <w:p w14:paraId="408A0606" w14:textId="77777777" w:rsidR="00A20480" w:rsidRDefault="00A20480">
            <w:pPr>
              <w:autoSpaceDE/>
              <w:ind w:firstLineChars="100" w:firstLine="180"/>
              <w:rPr>
                <w:rFonts w:ascii="Arial" w:hAnsi="Arial" w:cs="Arial"/>
                <w:sz w:val="18"/>
                <w:szCs w:val="18"/>
              </w:rPr>
            </w:pPr>
            <w:r>
              <w:rPr>
                <w:rFonts w:ascii="Arial" w:hAnsi="Arial" w:cs="Arial"/>
                <w:sz w:val="18"/>
                <w:szCs w:val="18"/>
              </w:rPr>
              <w:t>Taladro percutor (Güímar)</w:t>
            </w:r>
          </w:p>
        </w:tc>
        <w:tc>
          <w:tcPr>
            <w:tcW w:w="1308" w:type="dxa"/>
            <w:tcBorders>
              <w:top w:val="single" w:sz="4" w:space="0" w:color="auto"/>
              <w:left w:val="nil"/>
              <w:bottom w:val="single" w:sz="8" w:space="0" w:color="auto"/>
              <w:right w:val="nil"/>
            </w:tcBorders>
            <w:noWrap/>
            <w:vAlign w:val="center"/>
            <w:hideMark/>
          </w:tcPr>
          <w:p w14:paraId="0A15EFE5" w14:textId="77777777" w:rsidR="00A20480" w:rsidRDefault="00A20480">
            <w:pPr>
              <w:autoSpaceDE/>
              <w:jc w:val="right"/>
              <w:rPr>
                <w:rFonts w:ascii="Arial" w:hAnsi="Arial" w:cs="Arial"/>
                <w:sz w:val="18"/>
                <w:szCs w:val="18"/>
              </w:rPr>
            </w:pPr>
            <w:r>
              <w:rPr>
                <w:rFonts w:ascii="Arial" w:hAnsi="Arial" w:cs="Arial"/>
                <w:sz w:val="18"/>
                <w:szCs w:val="18"/>
              </w:rPr>
              <w:t>450,00</w:t>
            </w:r>
          </w:p>
        </w:tc>
      </w:tr>
      <w:tr w:rsidR="00A20480" w14:paraId="0FD4AC02"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65617710" w14:textId="77777777" w:rsidR="00A20480" w:rsidRDefault="00A20480">
            <w:pPr>
              <w:autoSpaceDE/>
              <w:jc w:val="center"/>
              <w:rPr>
                <w:rFonts w:ascii="Arial" w:hAnsi="Arial" w:cs="Arial"/>
                <w:b/>
                <w:bCs/>
              </w:rPr>
            </w:pPr>
            <w:r>
              <w:rPr>
                <w:rFonts w:ascii="Arial" w:hAnsi="Arial" w:cs="Arial"/>
                <w:b/>
                <w:bCs/>
              </w:rPr>
              <w:t xml:space="preserve">MATERIAL DE TRANSPORTE </w:t>
            </w:r>
          </w:p>
        </w:tc>
        <w:tc>
          <w:tcPr>
            <w:tcW w:w="1308"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67219EC4" w14:textId="77777777" w:rsidR="00A20480" w:rsidRDefault="00A20480">
            <w:pPr>
              <w:autoSpaceDE/>
              <w:jc w:val="right"/>
              <w:rPr>
                <w:rFonts w:ascii="Arial" w:hAnsi="Arial" w:cs="Arial"/>
                <w:b/>
                <w:bCs/>
              </w:rPr>
            </w:pPr>
            <w:r>
              <w:rPr>
                <w:rFonts w:ascii="Arial" w:hAnsi="Arial" w:cs="Arial"/>
                <w:b/>
                <w:bCs/>
              </w:rPr>
              <w:t>6.000,00</w:t>
            </w:r>
          </w:p>
        </w:tc>
      </w:tr>
      <w:tr w:rsidR="00A20480" w14:paraId="1638220C" w14:textId="77777777" w:rsidTr="00A20480">
        <w:trPr>
          <w:trHeight w:val="315"/>
        </w:trPr>
        <w:tc>
          <w:tcPr>
            <w:tcW w:w="7230" w:type="dxa"/>
            <w:tcBorders>
              <w:top w:val="single" w:sz="8" w:space="0" w:color="auto"/>
              <w:left w:val="nil"/>
              <w:bottom w:val="single" w:sz="8" w:space="0" w:color="auto"/>
              <w:right w:val="nil"/>
            </w:tcBorders>
            <w:noWrap/>
            <w:vAlign w:val="center"/>
            <w:hideMark/>
          </w:tcPr>
          <w:p w14:paraId="6CD7844B" w14:textId="77777777" w:rsidR="00A20480" w:rsidRDefault="00A20480">
            <w:pPr>
              <w:autoSpaceDE/>
              <w:ind w:firstLineChars="100" w:firstLine="180"/>
              <w:rPr>
                <w:rFonts w:ascii="Arial" w:hAnsi="Arial" w:cs="Arial"/>
                <w:sz w:val="18"/>
                <w:szCs w:val="18"/>
              </w:rPr>
            </w:pPr>
            <w:r>
              <w:rPr>
                <w:rFonts w:ascii="Arial" w:hAnsi="Arial" w:cs="Arial"/>
                <w:sz w:val="18"/>
                <w:szCs w:val="18"/>
              </w:rPr>
              <w:t>Luces estroboscópicas vehículo UE</w:t>
            </w:r>
          </w:p>
        </w:tc>
        <w:tc>
          <w:tcPr>
            <w:tcW w:w="1308" w:type="dxa"/>
            <w:tcBorders>
              <w:top w:val="single" w:sz="8" w:space="0" w:color="auto"/>
              <w:left w:val="nil"/>
              <w:bottom w:val="single" w:sz="8" w:space="0" w:color="auto"/>
              <w:right w:val="nil"/>
            </w:tcBorders>
            <w:noWrap/>
            <w:vAlign w:val="center"/>
            <w:hideMark/>
          </w:tcPr>
          <w:p w14:paraId="22FB1A99" w14:textId="77777777" w:rsidR="00A20480" w:rsidRDefault="00A20480">
            <w:pPr>
              <w:autoSpaceDE/>
              <w:jc w:val="right"/>
              <w:rPr>
                <w:rFonts w:ascii="Arial" w:hAnsi="Arial" w:cs="Arial"/>
                <w:sz w:val="18"/>
                <w:szCs w:val="18"/>
              </w:rPr>
            </w:pPr>
            <w:r>
              <w:rPr>
                <w:rFonts w:ascii="Arial" w:hAnsi="Arial" w:cs="Arial"/>
                <w:sz w:val="18"/>
                <w:szCs w:val="18"/>
              </w:rPr>
              <w:t>6.000,00</w:t>
            </w:r>
          </w:p>
        </w:tc>
      </w:tr>
      <w:tr w:rsidR="00A20480" w14:paraId="1124FB74"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027EDE43" w14:textId="77777777" w:rsidR="00A20480" w:rsidRDefault="00A20480">
            <w:pPr>
              <w:autoSpaceDE/>
              <w:jc w:val="center"/>
              <w:rPr>
                <w:rFonts w:ascii="Arial" w:hAnsi="Arial" w:cs="Arial"/>
                <w:b/>
                <w:bCs/>
              </w:rPr>
            </w:pPr>
            <w:r>
              <w:rPr>
                <w:rFonts w:ascii="Arial" w:hAnsi="Arial" w:cs="Arial"/>
                <w:b/>
                <w:bCs/>
              </w:rPr>
              <w:t xml:space="preserve">MOBILIARIO Y ENSERES </w:t>
            </w:r>
          </w:p>
        </w:tc>
        <w:tc>
          <w:tcPr>
            <w:tcW w:w="1308"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582150C8" w14:textId="77777777" w:rsidR="00A20480" w:rsidRDefault="00A20480">
            <w:pPr>
              <w:autoSpaceDE/>
              <w:jc w:val="right"/>
              <w:rPr>
                <w:rFonts w:ascii="Arial" w:hAnsi="Arial" w:cs="Arial"/>
                <w:b/>
                <w:bCs/>
              </w:rPr>
            </w:pPr>
            <w:r>
              <w:rPr>
                <w:rFonts w:ascii="Arial" w:hAnsi="Arial" w:cs="Arial"/>
                <w:b/>
                <w:bCs/>
              </w:rPr>
              <w:t>53.430,00</w:t>
            </w:r>
          </w:p>
        </w:tc>
      </w:tr>
      <w:tr w:rsidR="00A20480" w14:paraId="283B300A" w14:textId="77777777" w:rsidTr="00A20480">
        <w:trPr>
          <w:trHeight w:val="300"/>
        </w:trPr>
        <w:tc>
          <w:tcPr>
            <w:tcW w:w="7230" w:type="dxa"/>
            <w:tcBorders>
              <w:top w:val="single" w:sz="8" w:space="0" w:color="auto"/>
              <w:left w:val="nil"/>
              <w:bottom w:val="single" w:sz="4" w:space="0" w:color="auto"/>
              <w:right w:val="nil"/>
            </w:tcBorders>
            <w:noWrap/>
            <w:vAlign w:val="center"/>
            <w:hideMark/>
          </w:tcPr>
          <w:p w14:paraId="52CF3FBF" w14:textId="77777777" w:rsidR="00A20480" w:rsidRDefault="00A20480">
            <w:pPr>
              <w:autoSpaceDE/>
              <w:ind w:firstLineChars="100" w:firstLine="180"/>
              <w:rPr>
                <w:rFonts w:ascii="Arial" w:hAnsi="Arial" w:cs="Arial"/>
                <w:sz w:val="18"/>
                <w:szCs w:val="18"/>
              </w:rPr>
            </w:pPr>
            <w:r>
              <w:rPr>
                <w:rFonts w:ascii="Arial" w:hAnsi="Arial" w:cs="Arial"/>
                <w:sz w:val="18"/>
                <w:szCs w:val="18"/>
              </w:rPr>
              <w:t>Perchero longitudinal para colocar ropa de intervención sótano</w:t>
            </w:r>
          </w:p>
        </w:tc>
        <w:tc>
          <w:tcPr>
            <w:tcW w:w="1308" w:type="dxa"/>
            <w:tcBorders>
              <w:top w:val="single" w:sz="8" w:space="0" w:color="auto"/>
              <w:left w:val="nil"/>
              <w:bottom w:val="single" w:sz="4" w:space="0" w:color="auto"/>
              <w:right w:val="nil"/>
            </w:tcBorders>
            <w:noWrap/>
            <w:vAlign w:val="center"/>
            <w:hideMark/>
          </w:tcPr>
          <w:p w14:paraId="73CD5B79" w14:textId="77777777" w:rsidR="00A20480" w:rsidRDefault="00A20480">
            <w:pPr>
              <w:autoSpaceDE/>
              <w:jc w:val="right"/>
              <w:rPr>
                <w:rFonts w:ascii="Arial" w:hAnsi="Arial" w:cs="Arial"/>
                <w:sz w:val="18"/>
                <w:szCs w:val="18"/>
              </w:rPr>
            </w:pPr>
            <w:r>
              <w:rPr>
                <w:rFonts w:ascii="Arial" w:hAnsi="Arial" w:cs="Arial"/>
                <w:sz w:val="18"/>
                <w:szCs w:val="18"/>
              </w:rPr>
              <w:t>17.500,00</w:t>
            </w:r>
          </w:p>
        </w:tc>
      </w:tr>
      <w:tr w:rsidR="00A20480" w14:paraId="1D0F865D"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1AEA583" w14:textId="77777777" w:rsidR="00A20480" w:rsidRDefault="00A20480">
            <w:pPr>
              <w:autoSpaceDE/>
              <w:ind w:firstLineChars="100" w:firstLine="180"/>
              <w:rPr>
                <w:rFonts w:ascii="Arial" w:hAnsi="Arial" w:cs="Arial"/>
                <w:sz w:val="18"/>
                <w:szCs w:val="18"/>
              </w:rPr>
            </w:pPr>
            <w:r>
              <w:rPr>
                <w:rFonts w:ascii="Arial" w:hAnsi="Arial" w:cs="Arial"/>
                <w:sz w:val="18"/>
                <w:szCs w:val="18"/>
              </w:rPr>
              <w:t>Sillas oficinas</w:t>
            </w:r>
          </w:p>
        </w:tc>
        <w:tc>
          <w:tcPr>
            <w:tcW w:w="1308" w:type="dxa"/>
            <w:tcBorders>
              <w:top w:val="single" w:sz="4" w:space="0" w:color="auto"/>
              <w:left w:val="nil"/>
              <w:bottom w:val="single" w:sz="4" w:space="0" w:color="auto"/>
              <w:right w:val="nil"/>
            </w:tcBorders>
            <w:noWrap/>
            <w:vAlign w:val="center"/>
            <w:hideMark/>
          </w:tcPr>
          <w:p w14:paraId="241036B5" w14:textId="77777777" w:rsidR="00A20480" w:rsidRDefault="00A20480">
            <w:pPr>
              <w:autoSpaceDE/>
              <w:jc w:val="right"/>
              <w:rPr>
                <w:rFonts w:ascii="Arial" w:hAnsi="Arial" w:cs="Arial"/>
                <w:sz w:val="18"/>
                <w:szCs w:val="18"/>
              </w:rPr>
            </w:pPr>
            <w:r>
              <w:rPr>
                <w:rFonts w:ascii="Arial" w:hAnsi="Arial" w:cs="Arial"/>
                <w:sz w:val="18"/>
                <w:szCs w:val="18"/>
              </w:rPr>
              <w:t>800,00</w:t>
            </w:r>
          </w:p>
        </w:tc>
      </w:tr>
      <w:tr w:rsidR="00A20480" w14:paraId="7012DF83"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7A268A3" w14:textId="77777777" w:rsidR="00A20480" w:rsidRDefault="00A20480">
            <w:pPr>
              <w:autoSpaceDE/>
              <w:ind w:firstLineChars="100" w:firstLine="180"/>
              <w:rPr>
                <w:rFonts w:ascii="Arial" w:hAnsi="Arial" w:cs="Arial"/>
                <w:sz w:val="18"/>
                <w:szCs w:val="18"/>
              </w:rPr>
            </w:pPr>
            <w:r>
              <w:rPr>
                <w:rFonts w:ascii="Arial" w:hAnsi="Arial" w:cs="Arial"/>
                <w:sz w:val="18"/>
                <w:szCs w:val="18"/>
              </w:rPr>
              <w:t>Mobiliario de cocina</w:t>
            </w:r>
          </w:p>
        </w:tc>
        <w:tc>
          <w:tcPr>
            <w:tcW w:w="1308" w:type="dxa"/>
            <w:tcBorders>
              <w:top w:val="single" w:sz="4" w:space="0" w:color="auto"/>
              <w:left w:val="nil"/>
              <w:bottom w:val="single" w:sz="4" w:space="0" w:color="auto"/>
              <w:right w:val="nil"/>
            </w:tcBorders>
            <w:noWrap/>
            <w:vAlign w:val="center"/>
            <w:hideMark/>
          </w:tcPr>
          <w:p w14:paraId="2C9520AA" w14:textId="77777777" w:rsidR="00A20480" w:rsidRDefault="00A20480">
            <w:pPr>
              <w:autoSpaceDE/>
              <w:jc w:val="right"/>
              <w:rPr>
                <w:rFonts w:ascii="Arial" w:hAnsi="Arial" w:cs="Arial"/>
                <w:sz w:val="18"/>
                <w:szCs w:val="18"/>
              </w:rPr>
            </w:pPr>
            <w:r>
              <w:rPr>
                <w:rFonts w:ascii="Arial" w:hAnsi="Arial" w:cs="Arial"/>
                <w:sz w:val="18"/>
                <w:szCs w:val="18"/>
              </w:rPr>
              <w:t>1.400,00</w:t>
            </w:r>
          </w:p>
        </w:tc>
      </w:tr>
      <w:tr w:rsidR="00A20480" w14:paraId="54184EFD"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1F15A8EA" w14:textId="77777777" w:rsidR="00A20480" w:rsidRDefault="00A20480">
            <w:pPr>
              <w:autoSpaceDE/>
              <w:ind w:firstLineChars="100" w:firstLine="180"/>
              <w:rPr>
                <w:rFonts w:ascii="Arial" w:hAnsi="Arial" w:cs="Arial"/>
                <w:sz w:val="18"/>
                <w:szCs w:val="18"/>
              </w:rPr>
            </w:pPr>
            <w:r>
              <w:rPr>
                <w:rFonts w:ascii="Arial" w:hAnsi="Arial" w:cs="Arial"/>
                <w:sz w:val="18"/>
                <w:szCs w:val="18"/>
              </w:rPr>
              <w:t>Taquilla individual habitaciones</w:t>
            </w:r>
          </w:p>
        </w:tc>
        <w:tc>
          <w:tcPr>
            <w:tcW w:w="1308" w:type="dxa"/>
            <w:tcBorders>
              <w:top w:val="single" w:sz="4" w:space="0" w:color="auto"/>
              <w:left w:val="nil"/>
              <w:bottom w:val="single" w:sz="4" w:space="0" w:color="auto"/>
              <w:right w:val="nil"/>
            </w:tcBorders>
            <w:noWrap/>
            <w:vAlign w:val="center"/>
            <w:hideMark/>
          </w:tcPr>
          <w:p w14:paraId="1CFDEA75" w14:textId="77777777" w:rsidR="00A20480" w:rsidRDefault="00A20480">
            <w:pPr>
              <w:autoSpaceDE/>
              <w:jc w:val="right"/>
              <w:rPr>
                <w:rFonts w:ascii="Arial" w:hAnsi="Arial" w:cs="Arial"/>
                <w:sz w:val="18"/>
                <w:szCs w:val="18"/>
              </w:rPr>
            </w:pPr>
            <w:r>
              <w:rPr>
                <w:rFonts w:ascii="Arial" w:hAnsi="Arial" w:cs="Arial"/>
                <w:sz w:val="18"/>
                <w:szCs w:val="18"/>
              </w:rPr>
              <w:t>1.600,00</w:t>
            </w:r>
          </w:p>
        </w:tc>
      </w:tr>
      <w:tr w:rsidR="00A20480" w14:paraId="319EA788"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439B1A80" w14:textId="77777777" w:rsidR="00A20480" w:rsidRDefault="00A20480">
            <w:pPr>
              <w:autoSpaceDE/>
              <w:ind w:firstLineChars="100" w:firstLine="180"/>
              <w:rPr>
                <w:rFonts w:ascii="Arial" w:hAnsi="Arial" w:cs="Arial"/>
                <w:sz w:val="18"/>
                <w:szCs w:val="18"/>
              </w:rPr>
            </w:pPr>
            <w:r>
              <w:rPr>
                <w:rFonts w:ascii="Arial" w:hAnsi="Arial" w:cs="Arial"/>
                <w:sz w:val="18"/>
                <w:szCs w:val="18"/>
              </w:rPr>
              <w:t xml:space="preserve">Mobiliario de oficina </w:t>
            </w:r>
            <w:proofErr w:type="gramStart"/>
            <w:r>
              <w:rPr>
                <w:rFonts w:ascii="Arial" w:hAnsi="Arial" w:cs="Arial"/>
                <w:sz w:val="18"/>
                <w:szCs w:val="18"/>
              </w:rPr>
              <w:t>Jefe</w:t>
            </w:r>
            <w:proofErr w:type="gramEnd"/>
            <w:r>
              <w:rPr>
                <w:rFonts w:ascii="Arial" w:hAnsi="Arial" w:cs="Arial"/>
                <w:sz w:val="18"/>
                <w:szCs w:val="18"/>
              </w:rPr>
              <w:t xml:space="preserve"> Parque</w:t>
            </w:r>
          </w:p>
        </w:tc>
        <w:tc>
          <w:tcPr>
            <w:tcW w:w="1308" w:type="dxa"/>
            <w:tcBorders>
              <w:top w:val="single" w:sz="4" w:space="0" w:color="auto"/>
              <w:left w:val="nil"/>
              <w:bottom w:val="single" w:sz="4" w:space="0" w:color="auto"/>
              <w:right w:val="nil"/>
            </w:tcBorders>
            <w:noWrap/>
            <w:vAlign w:val="center"/>
            <w:hideMark/>
          </w:tcPr>
          <w:p w14:paraId="30546B21" w14:textId="77777777" w:rsidR="00A20480" w:rsidRDefault="00A20480">
            <w:pPr>
              <w:autoSpaceDE/>
              <w:jc w:val="right"/>
              <w:rPr>
                <w:rFonts w:ascii="Arial" w:hAnsi="Arial" w:cs="Arial"/>
                <w:sz w:val="18"/>
                <w:szCs w:val="18"/>
              </w:rPr>
            </w:pPr>
            <w:r>
              <w:rPr>
                <w:rFonts w:ascii="Arial" w:hAnsi="Arial" w:cs="Arial"/>
                <w:sz w:val="18"/>
                <w:szCs w:val="18"/>
              </w:rPr>
              <w:t>7.000,00</w:t>
            </w:r>
          </w:p>
        </w:tc>
      </w:tr>
      <w:tr w:rsidR="00A20480" w14:paraId="6F5A68D1"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2E8DDE61" w14:textId="77777777" w:rsidR="00A20480" w:rsidRDefault="00A20480">
            <w:pPr>
              <w:autoSpaceDE/>
              <w:ind w:firstLineChars="100" w:firstLine="180"/>
              <w:rPr>
                <w:rFonts w:ascii="Arial" w:hAnsi="Arial" w:cs="Arial"/>
                <w:sz w:val="18"/>
                <w:szCs w:val="18"/>
              </w:rPr>
            </w:pPr>
            <w:r>
              <w:rPr>
                <w:rFonts w:ascii="Arial" w:hAnsi="Arial" w:cs="Arial"/>
                <w:sz w:val="18"/>
                <w:szCs w:val="18"/>
              </w:rPr>
              <w:t>Mesas de noche</w:t>
            </w:r>
          </w:p>
        </w:tc>
        <w:tc>
          <w:tcPr>
            <w:tcW w:w="1308" w:type="dxa"/>
            <w:tcBorders>
              <w:top w:val="single" w:sz="4" w:space="0" w:color="auto"/>
              <w:left w:val="nil"/>
              <w:bottom w:val="single" w:sz="4" w:space="0" w:color="auto"/>
              <w:right w:val="nil"/>
            </w:tcBorders>
            <w:noWrap/>
            <w:vAlign w:val="center"/>
            <w:hideMark/>
          </w:tcPr>
          <w:p w14:paraId="1398FE24" w14:textId="77777777" w:rsidR="00A20480" w:rsidRDefault="00A20480">
            <w:pPr>
              <w:autoSpaceDE/>
              <w:jc w:val="right"/>
              <w:rPr>
                <w:rFonts w:ascii="Arial" w:hAnsi="Arial" w:cs="Arial"/>
                <w:sz w:val="18"/>
                <w:szCs w:val="18"/>
              </w:rPr>
            </w:pPr>
            <w:r>
              <w:rPr>
                <w:rFonts w:ascii="Arial" w:hAnsi="Arial" w:cs="Arial"/>
                <w:sz w:val="18"/>
                <w:szCs w:val="18"/>
              </w:rPr>
              <w:t>480,00</w:t>
            </w:r>
          </w:p>
        </w:tc>
      </w:tr>
      <w:tr w:rsidR="00A20480" w14:paraId="77B3D018"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A740D89" w14:textId="77777777" w:rsidR="00A20480" w:rsidRDefault="00A20480">
            <w:pPr>
              <w:autoSpaceDE/>
              <w:ind w:firstLineChars="100" w:firstLine="180"/>
              <w:rPr>
                <w:rFonts w:ascii="Arial" w:hAnsi="Arial" w:cs="Arial"/>
                <w:sz w:val="18"/>
                <w:szCs w:val="18"/>
              </w:rPr>
            </w:pPr>
            <w:r>
              <w:rPr>
                <w:rFonts w:ascii="Arial" w:hAnsi="Arial" w:cs="Arial"/>
                <w:sz w:val="18"/>
                <w:szCs w:val="18"/>
              </w:rPr>
              <w:t>Percheros zonas intervención</w:t>
            </w:r>
          </w:p>
        </w:tc>
        <w:tc>
          <w:tcPr>
            <w:tcW w:w="1308" w:type="dxa"/>
            <w:tcBorders>
              <w:top w:val="single" w:sz="4" w:space="0" w:color="auto"/>
              <w:left w:val="nil"/>
              <w:bottom w:val="single" w:sz="4" w:space="0" w:color="auto"/>
              <w:right w:val="nil"/>
            </w:tcBorders>
            <w:noWrap/>
            <w:vAlign w:val="center"/>
            <w:hideMark/>
          </w:tcPr>
          <w:p w14:paraId="51384B76" w14:textId="77777777" w:rsidR="00A20480" w:rsidRDefault="00A20480">
            <w:pPr>
              <w:autoSpaceDE/>
              <w:jc w:val="right"/>
              <w:rPr>
                <w:rFonts w:ascii="Arial" w:hAnsi="Arial" w:cs="Arial"/>
                <w:sz w:val="18"/>
                <w:szCs w:val="18"/>
              </w:rPr>
            </w:pPr>
            <w:r>
              <w:rPr>
                <w:rFonts w:ascii="Arial" w:hAnsi="Arial" w:cs="Arial"/>
                <w:sz w:val="18"/>
                <w:szCs w:val="18"/>
              </w:rPr>
              <w:t>3.750,00</w:t>
            </w:r>
          </w:p>
        </w:tc>
      </w:tr>
      <w:tr w:rsidR="00A20480" w14:paraId="284D6097"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48432DF1" w14:textId="77777777" w:rsidR="00A20480" w:rsidRDefault="00A20480">
            <w:pPr>
              <w:autoSpaceDE/>
              <w:ind w:firstLineChars="100" w:firstLine="180"/>
              <w:rPr>
                <w:rFonts w:ascii="Arial" w:hAnsi="Arial" w:cs="Arial"/>
                <w:sz w:val="18"/>
                <w:szCs w:val="18"/>
              </w:rPr>
            </w:pPr>
            <w:r>
              <w:rPr>
                <w:rFonts w:ascii="Arial" w:hAnsi="Arial" w:cs="Arial"/>
                <w:sz w:val="18"/>
                <w:szCs w:val="18"/>
              </w:rPr>
              <w:t>Camas</w:t>
            </w:r>
          </w:p>
        </w:tc>
        <w:tc>
          <w:tcPr>
            <w:tcW w:w="1308" w:type="dxa"/>
            <w:tcBorders>
              <w:top w:val="single" w:sz="4" w:space="0" w:color="auto"/>
              <w:left w:val="nil"/>
              <w:bottom w:val="single" w:sz="4" w:space="0" w:color="auto"/>
              <w:right w:val="nil"/>
            </w:tcBorders>
            <w:noWrap/>
            <w:vAlign w:val="center"/>
            <w:hideMark/>
          </w:tcPr>
          <w:p w14:paraId="54464EE4" w14:textId="77777777" w:rsidR="00A20480" w:rsidRDefault="00A20480">
            <w:pPr>
              <w:autoSpaceDE/>
              <w:jc w:val="right"/>
              <w:rPr>
                <w:rFonts w:ascii="Arial" w:hAnsi="Arial" w:cs="Arial"/>
                <w:sz w:val="18"/>
                <w:szCs w:val="18"/>
              </w:rPr>
            </w:pPr>
            <w:r>
              <w:rPr>
                <w:rFonts w:ascii="Arial" w:hAnsi="Arial" w:cs="Arial"/>
                <w:sz w:val="18"/>
                <w:szCs w:val="18"/>
              </w:rPr>
              <w:t>1.600,00</w:t>
            </w:r>
          </w:p>
        </w:tc>
      </w:tr>
      <w:tr w:rsidR="00A20480" w14:paraId="520358F5"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3B7F3994" w14:textId="77777777" w:rsidR="00A20480" w:rsidRDefault="00A20480">
            <w:pPr>
              <w:autoSpaceDE/>
              <w:ind w:firstLineChars="100" w:firstLine="180"/>
              <w:rPr>
                <w:rFonts w:ascii="Arial" w:hAnsi="Arial" w:cs="Arial"/>
                <w:sz w:val="18"/>
                <w:szCs w:val="18"/>
              </w:rPr>
            </w:pPr>
            <w:r>
              <w:rPr>
                <w:rFonts w:ascii="Arial" w:hAnsi="Arial" w:cs="Arial"/>
                <w:sz w:val="18"/>
                <w:szCs w:val="18"/>
              </w:rPr>
              <w:t>Colchones</w:t>
            </w:r>
          </w:p>
        </w:tc>
        <w:tc>
          <w:tcPr>
            <w:tcW w:w="1308" w:type="dxa"/>
            <w:tcBorders>
              <w:top w:val="single" w:sz="4" w:space="0" w:color="auto"/>
              <w:left w:val="nil"/>
              <w:bottom w:val="single" w:sz="4" w:space="0" w:color="auto"/>
              <w:right w:val="nil"/>
            </w:tcBorders>
            <w:noWrap/>
            <w:vAlign w:val="center"/>
            <w:hideMark/>
          </w:tcPr>
          <w:p w14:paraId="1AD0A980" w14:textId="77777777" w:rsidR="00A20480" w:rsidRDefault="00A20480">
            <w:pPr>
              <w:autoSpaceDE/>
              <w:jc w:val="right"/>
              <w:rPr>
                <w:rFonts w:ascii="Arial" w:hAnsi="Arial" w:cs="Arial"/>
                <w:sz w:val="18"/>
                <w:szCs w:val="18"/>
              </w:rPr>
            </w:pPr>
            <w:r>
              <w:rPr>
                <w:rFonts w:ascii="Arial" w:hAnsi="Arial" w:cs="Arial"/>
                <w:sz w:val="18"/>
                <w:szCs w:val="18"/>
              </w:rPr>
              <w:t>1.600,00</w:t>
            </w:r>
          </w:p>
        </w:tc>
      </w:tr>
      <w:tr w:rsidR="00A20480" w14:paraId="4F4A1F25"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65789774" w14:textId="77777777" w:rsidR="00A20480" w:rsidRDefault="00A20480">
            <w:pPr>
              <w:autoSpaceDE/>
              <w:ind w:firstLineChars="100" w:firstLine="180"/>
              <w:rPr>
                <w:rFonts w:ascii="Arial" w:hAnsi="Arial" w:cs="Arial"/>
                <w:sz w:val="18"/>
                <w:szCs w:val="18"/>
              </w:rPr>
            </w:pPr>
            <w:r>
              <w:rPr>
                <w:rFonts w:ascii="Arial" w:hAnsi="Arial" w:cs="Arial"/>
                <w:sz w:val="18"/>
                <w:szCs w:val="18"/>
              </w:rPr>
              <w:t>Taquillas vestuario</w:t>
            </w:r>
          </w:p>
        </w:tc>
        <w:tc>
          <w:tcPr>
            <w:tcW w:w="1308" w:type="dxa"/>
            <w:tcBorders>
              <w:top w:val="single" w:sz="4" w:space="0" w:color="auto"/>
              <w:left w:val="nil"/>
              <w:bottom w:val="single" w:sz="4" w:space="0" w:color="auto"/>
              <w:right w:val="nil"/>
            </w:tcBorders>
            <w:noWrap/>
            <w:vAlign w:val="center"/>
            <w:hideMark/>
          </w:tcPr>
          <w:p w14:paraId="5E571EEC" w14:textId="77777777" w:rsidR="00A20480" w:rsidRDefault="00A20480">
            <w:pPr>
              <w:autoSpaceDE/>
              <w:jc w:val="right"/>
              <w:rPr>
                <w:rFonts w:ascii="Arial" w:hAnsi="Arial" w:cs="Arial"/>
                <w:sz w:val="18"/>
                <w:szCs w:val="18"/>
              </w:rPr>
            </w:pPr>
            <w:r>
              <w:rPr>
                <w:rFonts w:ascii="Arial" w:hAnsi="Arial" w:cs="Arial"/>
                <w:sz w:val="18"/>
                <w:szCs w:val="18"/>
              </w:rPr>
              <w:t>10.200,00</w:t>
            </w:r>
          </w:p>
        </w:tc>
      </w:tr>
      <w:tr w:rsidR="00A20480" w14:paraId="53263BBA"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6999BF5B" w14:textId="77777777" w:rsidR="00A20480" w:rsidRDefault="00A20480">
            <w:pPr>
              <w:autoSpaceDE/>
              <w:ind w:firstLineChars="100" w:firstLine="180"/>
              <w:rPr>
                <w:rFonts w:ascii="Arial" w:hAnsi="Arial" w:cs="Arial"/>
                <w:sz w:val="18"/>
                <w:szCs w:val="18"/>
              </w:rPr>
            </w:pPr>
            <w:r>
              <w:rPr>
                <w:rFonts w:ascii="Arial" w:hAnsi="Arial" w:cs="Arial"/>
                <w:sz w:val="18"/>
                <w:szCs w:val="18"/>
              </w:rPr>
              <w:t>Sillón sala estar</w:t>
            </w:r>
          </w:p>
        </w:tc>
        <w:tc>
          <w:tcPr>
            <w:tcW w:w="1308" w:type="dxa"/>
            <w:tcBorders>
              <w:top w:val="single" w:sz="4" w:space="0" w:color="auto"/>
              <w:left w:val="nil"/>
              <w:bottom w:val="single" w:sz="4" w:space="0" w:color="auto"/>
              <w:right w:val="nil"/>
            </w:tcBorders>
            <w:noWrap/>
            <w:vAlign w:val="center"/>
            <w:hideMark/>
          </w:tcPr>
          <w:p w14:paraId="4A4EFBFF" w14:textId="77777777" w:rsidR="00A20480" w:rsidRDefault="00A20480">
            <w:pPr>
              <w:autoSpaceDE/>
              <w:jc w:val="right"/>
              <w:rPr>
                <w:rFonts w:ascii="Arial" w:hAnsi="Arial" w:cs="Arial"/>
                <w:sz w:val="18"/>
                <w:szCs w:val="18"/>
              </w:rPr>
            </w:pPr>
            <w:r>
              <w:rPr>
                <w:rFonts w:ascii="Arial" w:hAnsi="Arial" w:cs="Arial"/>
                <w:sz w:val="18"/>
                <w:szCs w:val="18"/>
              </w:rPr>
              <w:t>2.500,00</w:t>
            </w:r>
          </w:p>
        </w:tc>
      </w:tr>
      <w:tr w:rsidR="00A20480" w14:paraId="3C2A1EEC"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CCE4374" w14:textId="77777777" w:rsidR="00A20480" w:rsidRDefault="00A20480">
            <w:pPr>
              <w:autoSpaceDE/>
              <w:ind w:firstLineChars="100" w:firstLine="180"/>
              <w:rPr>
                <w:rFonts w:ascii="Arial" w:hAnsi="Arial" w:cs="Arial"/>
                <w:sz w:val="18"/>
                <w:szCs w:val="18"/>
              </w:rPr>
            </w:pPr>
            <w:r>
              <w:rPr>
                <w:rFonts w:ascii="Arial" w:hAnsi="Arial" w:cs="Arial"/>
                <w:sz w:val="18"/>
                <w:szCs w:val="18"/>
              </w:rPr>
              <w:t>Mueble sala estar</w:t>
            </w:r>
          </w:p>
        </w:tc>
        <w:tc>
          <w:tcPr>
            <w:tcW w:w="1308" w:type="dxa"/>
            <w:tcBorders>
              <w:top w:val="single" w:sz="4" w:space="0" w:color="auto"/>
              <w:left w:val="nil"/>
              <w:bottom w:val="single" w:sz="4" w:space="0" w:color="auto"/>
              <w:right w:val="nil"/>
            </w:tcBorders>
            <w:noWrap/>
            <w:vAlign w:val="center"/>
            <w:hideMark/>
          </w:tcPr>
          <w:p w14:paraId="0FFEC722" w14:textId="77777777" w:rsidR="00A20480" w:rsidRDefault="00A20480">
            <w:pPr>
              <w:autoSpaceDE/>
              <w:jc w:val="right"/>
              <w:rPr>
                <w:rFonts w:ascii="Arial" w:hAnsi="Arial" w:cs="Arial"/>
                <w:sz w:val="18"/>
                <w:szCs w:val="18"/>
              </w:rPr>
            </w:pPr>
            <w:r>
              <w:rPr>
                <w:rFonts w:ascii="Arial" w:hAnsi="Arial" w:cs="Arial"/>
                <w:sz w:val="18"/>
                <w:szCs w:val="18"/>
              </w:rPr>
              <w:t>800,00</w:t>
            </w:r>
          </w:p>
        </w:tc>
      </w:tr>
      <w:tr w:rsidR="00A20480" w14:paraId="09C323A5"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36F106B9" w14:textId="77777777" w:rsidR="00A20480" w:rsidRDefault="00A20480">
            <w:pPr>
              <w:autoSpaceDE/>
              <w:ind w:firstLineChars="100" w:firstLine="180"/>
              <w:rPr>
                <w:rFonts w:ascii="Arial" w:hAnsi="Arial" w:cs="Arial"/>
                <w:sz w:val="18"/>
                <w:szCs w:val="18"/>
              </w:rPr>
            </w:pPr>
            <w:r>
              <w:rPr>
                <w:rFonts w:ascii="Arial" w:hAnsi="Arial" w:cs="Arial"/>
                <w:sz w:val="18"/>
                <w:szCs w:val="18"/>
              </w:rPr>
              <w:t>Mesa comedor</w:t>
            </w:r>
          </w:p>
        </w:tc>
        <w:tc>
          <w:tcPr>
            <w:tcW w:w="1308" w:type="dxa"/>
            <w:tcBorders>
              <w:top w:val="single" w:sz="4" w:space="0" w:color="auto"/>
              <w:left w:val="nil"/>
              <w:bottom w:val="single" w:sz="4" w:space="0" w:color="auto"/>
              <w:right w:val="nil"/>
            </w:tcBorders>
            <w:noWrap/>
            <w:vAlign w:val="center"/>
            <w:hideMark/>
          </w:tcPr>
          <w:p w14:paraId="579BA984" w14:textId="77777777" w:rsidR="00A20480" w:rsidRDefault="00A20480">
            <w:pPr>
              <w:autoSpaceDE/>
              <w:jc w:val="right"/>
              <w:rPr>
                <w:rFonts w:ascii="Arial" w:hAnsi="Arial" w:cs="Arial"/>
                <w:sz w:val="18"/>
                <w:szCs w:val="18"/>
              </w:rPr>
            </w:pPr>
            <w:r>
              <w:rPr>
                <w:rFonts w:ascii="Arial" w:hAnsi="Arial" w:cs="Arial"/>
                <w:sz w:val="18"/>
                <w:szCs w:val="18"/>
              </w:rPr>
              <w:t>400,00</w:t>
            </w:r>
          </w:p>
        </w:tc>
      </w:tr>
      <w:tr w:rsidR="00A20480" w14:paraId="776093A1" w14:textId="77777777" w:rsidTr="00A20480">
        <w:trPr>
          <w:trHeight w:val="315"/>
        </w:trPr>
        <w:tc>
          <w:tcPr>
            <w:tcW w:w="7230" w:type="dxa"/>
            <w:tcBorders>
              <w:top w:val="single" w:sz="4" w:space="0" w:color="auto"/>
              <w:left w:val="nil"/>
              <w:bottom w:val="single" w:sz="4" w:space="0" w:color="auto"/>
              <w:right w:val="nil"/>
            </w:tcBorders>
            <w:noWrap/>
            <w:vAlign w:val="center"/>
            <w:hideMark/>
          </w:tcPr>
          <w:p w14:paraId="1E3B19A1" w14:textId="77777777" w:rsidR="00A20480" w:rsidRDefault="00A20480">
            <w:pPr>
              <w:autoSpaceDE/>
              <w:ind w:firstLineChars="100" w:firstLine="180"/>
              <w:rPr>
                <w:rFonts w:ascii="Arial" w:hAnsi="Arial" w:cs="Arial"/>
                <w:sz w:val="18"/>
                <w:szCs w:val="18"/>
              </w:rPr>
            </w:pPr>
            <w:r>
              <w:rPr>
                <w:rFonts w:ascii="Arial" w:hAnsi="Arial" w:cs="Arial"/>
                <w:sz w:val="18"/>
                <w:szCs w:val="18"/>
              </w:rPr>
              <w:t>Sillas comedor</w:t>
            </w:r>
          </w:p>
        </w:tc>
        <w:tc>
          <w:tcPr>
            <w:tcW w:w="1308" w:type="dxa"/>
            <w:tcBorders>
              <w:top w:val="single" w:sz="4" w:space="0" w:color="auto"/>
              <w:left w:val="nil"/>
              <w:bottom w:val="single" w:sz="4" w:space="0" w:color="auto"/>
              <w:right w:val="nil"/>
            </w:tcBorders>
            <w:noWrap/>
            <w:vAlign w:val="center"/>
            <w:hideMark/>
          </w:tcPr>
          <w:p w14:paraId="5C53012A"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800,00</w:t>
            </w:r>
          </w:p>
        </w:tc>
      </w:tr>
      <w:tr w:rsidR="00A20480" w14:paraId="7B0F9D88" w14:textId="77777777" w:rsidTr="00A20480">
        <w:trPr>
          <w:trHeight w:val="315"/>
        </w:trPr>
        <w:tc>
          <w:tcPr>
            <w:tcW w:w="7230" w:type="dxa"/>
            <w:tcBorders>
              <w:top w:val="single" w:sz="4" w:space="0" w:color="auto"/>
              <w:left w:val="nil"/>
              <w:bottom w:val="single" w:sz="8" w:space="0" w:color="auto"/>
              <w:right w:val="nil"/>
            </w:tcBorders>
            <w:noWrap/>
            <w:vAlign w:val="center"/>
            <w:hideMark/>
          </w:tcPr>
          <w:p w14:paraId="4F0C6C7E" w14:textId="77777777" w:rsidR="00A20480" w:rsidRDefault="00A20480">
            <w:pPr>
              <w:autoSpaceDE/>
              <w:ind w:firstLineChars="100" w:firstLine="180"/>
              <w:rPr>
                <w:rFonts w:ascii="Arial" w:hAnsi="Arial" w:cs="Arial"/>
                <w:sz w:val="18"/>
                <w:szCs w:val="18"/>
              </w:rPr>
            </w:pPr>
            <w:r>
              <w:rPr>
                <w:rFonts w:ascii="Arial" w:hAnsi="Arial" w:cs="Arial"/>
                <w:sz w:val="18"/>
                <w:szCs w:val="18"/>
              </w:rPr>
              <w:t>Colchonera</w:t>
            </w:r>
          </w:p>
        </w:tc>
        <w:tc>
          <w:tcPr>
            <w:tcW w:w="1308" w:type="dxa"/>
            <w:tcBorders>
              <w:top w:val="single" w:sz="4" w:space="0" w:color="auto"/>
              <w:left w:val="nil"/>
              <w:bottom w:val="single" w:sz="8" w:space="0" w:color="auto"/>
              <w:right w:val="nil"/>
            </w:tcBorders>
            <w:noWrap/>
            <w:vAlign w:val="center"/>
            <w:hideMark/>
          </w:tcPr>
          <w:p w14:paraId="2AAAF1EB"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3.000,00</w:t>
            </w:r>
          </w:p>
        </w:tc>
      </w:tr>
      <w:tr w:rsidR="00A20480" w14:paraId="41EB90B3"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211B7075" w14:textId="77777777" w:rsidR="00A20480" w:rsidRDefault="00A20480">
            <w:pPr>
              <w:autoSpaceDE/>
              <w:jc w:val="center"/>
              <w:rPr>
                <w:rFonts w:ascii="Arial" w:hAnsi="Arial" w:cs="Arial"/>
                <w:b/>
                <w:bCs/>
              </w:rPr>
            </w:pPr>
            <w:r>
              <w:rPr>
                <w:rFonts w:ascii="Arial" w:hAnsi="Arial" w:cs="Arial"/>
                <w:b/>
                <w:bCs/>
              </w:rPr>
              <w:lastRenderedPageBreak/>
              <w:t>EQUIPOS PARA PROCESOS DE INFORMACIÓN</w:t>
            </w:r>
          </w:p>
        </w:tc>
        <w:tc>
          <w:tcPr>
            <w:tcW w:w="1308"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34B5EA55" w14:textId="77777777" w:rsidR="00A20480" w:rsidRDefault="00A20480">
            <w:pPr>
              <w:autoSpaceDE/>
              <w:jc w:val="right"/>
              <w:rPr>
                <w:rFonts w:ascii="Arial" w:hAnsi="Arial" w:cs="Arial"/>
                <w:b/>
                <w:bCs/>
              </w:rPr>
            </w:pPr>
            <w:r>
              <w:rPr>
                <w:rFonts w:ascii="Arial" w:hAnsi="Arial" w:cs="Arial"/>
                <w:b/>
                <w:bCs/>
              </w:rPr>
              <w:t>15.840,00</w:t>
            </w:r>
          </w:p>
        </w:tc>
      </w:tr>
      <w:tr w:rsidR="00A20480" w14:paraId="4DD9717F" w14:textId="77777777" w:rsidTr="00A20480">
        <w:trPr>
          <w:trHeight w:val="300"/>
        </w:trPr>
        <w:tc>
          <w:tcPr>
            <w:tcW w:w="7230" w:type="dxa"/>
            <w:tcBorders>
              <w:top w:val="single" w:sz="8" w:space="0" w:color="auto"/>
              <w:left w:val="nil"/>
              <w:bottom w:val="single" w:sz="4" w:space="0" w:color="auto"/>
              <w:right w:val="nil"/>
            </w:tcBorders>
            <w:noWrap/>
            <w:vAlign w:val="center"/>
            <w:hideMark/>
          </w:tcPr>
          <w:p w14:paraId="051B0A5B" w14:textId="77777777" w:rsidR="00A20480" w:rsidRDefault="00A20480">
            <w:pPr>
              <w:autoSpaceDE/>
              <w:ind w:firstLineChars="100" w:firstLine="180"/>
              <w:rPr>
                <w:rFonts w:ascii="Arial" w:hAnsi="Arial" w:cs="Arial"/>
                <w:sz w:val="18"/>
                <w:szCs w:val="18"/>
              </w:rPr>
            </w:pPr>
            <w:r>
              <w:rPr>
                <w:rFonts w:ascii="Arial" w:hAnsi="Arial" w:cs="Arial"/>
                <w:sz w:val="18"/>
                <w:szCs w:val="18"/>
              </w:rPr>
              <w:t>Ordenadores de sobremesa</w:t>
            </w:r>
          </w:p>
        </w:tc>
        <w:tc>
          <w:tcPr>
            <w:tcW w:w="1308" w:type="dxa"/>
            <w:tcBorders>
              <w:top w:val="single" w:sz="8" w:space="0" w:color="auto"/>
              <w:left w:val="nil"/>
              <w:bottom w:val="single" w:sz="4" w:space="0" w:color="auto"/>
              <w:right w:val="nil"/>
            </w:tcBorders>
            <w:noWrap/>
            <w:vAlign w:val="center"/>
            <w:hideMark/>
          </w:tcPr>
          <w:p w14:paraId="79690B0A" w14:textId="77777777" w:rsidR="00A20480" w:rsidRDefault="00A20480">
            <w:pPr>
              <w:autoSpaceDE/>
              <w:jc w:val="right"/>
              <w:rPr>
                <w:rFonts w:ascii="Arial" w:hAnsi="Arial" w:cs="Arial"/>
                <w:sz w:val="18"/>
                <w:szCs w:val="18"/>
              </w:rPr>
            </w:pPr>
            <w:r>
              <w:rPr>
                <w:rFonts w:ascii="Arial" w:hAnsi="Arial" w:cs="Arial"/>
                <w:sz w:val="18"/>
                <w:szCs w:val="18"/>
              </w:rPr>
              <w:t>6.000,00</w:t>
            </w:r>
          </w:p>
        </w:tc>
      </w:tr>
      <w:tr w:rsidR="00A20480" w14:paraId="7C1C8B93"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29E40083" w14:textId="77777777" w:rsidR="00A20480" w:rsidRDefault="00A20480">
            <w:pPr>
              <w:autoSpaceDE/>
              <w:ind w:firstLineChars="100" w:firstLine="180"/>
              <w:rPr>
                <w:rFonts w:ascii="Arial" w:hAnsi="Arial" w:cs="Arial"/>
                <w:sz w:val="18"/>
                <w:szCs w:val="18"/>
              </w:rPr>
            </w:pPr>
            <w:r>
              <w:rPr>
                <w:rFonts w:ascii="Arial" w:hAnsi="Arial" w:cs="Arial"/>
                <w:sz w:val="18"/>
                <w:szCs w:val="18"/>
              </w:rPr>
              <w:t xml:space="preserve">Ordenadores portátiles </w:t>
            </w:r>
          </w:p>
        </w:tc>
        <w:tc>
          <w:tcPr>
            <w:tcW w:w="1308" w:type="dxa"/>
            <w:tcBorders>
              <w:top w:val="single" w:sz="4" w:space="0" w:color="auto"/>
              <w:left w:val="nil"/>
              <w:bottom w:val="single" w:sz="4" w:space="0" w:color="auto"/>
              <w:right w:val="nil"/>
            </w:tcBorders>
            <w:noWrap/>
            <w:vAlign w:val="center"/>
            <w:hideMark/>
          </w:tcPr>
          <w:p w14:paraId="2AF4603B" w14:textId="77777777" w:rsidR="00A20480" w:rsidRDefault="00A20480">
            <w:pPr>
              <w:autoSpaceDE/>
              <w:jc w:val="right"/>
              <w:rPr>
                <w:rFonts w:ascii="Arial" w:hAnsi="Arial" w:cs="Arial"/>
                <w:sz w:val="18"/>
                <w:szCs w:val="18"/>
              </w:rPr>
            </w:pPr>
            <w:r>
              <w:rPr>
                <w:rFonts w:ascii="Arial" w:hAnsi="Arial" w:cs="Arial"/>
                <w:sz w:val="18"/>
                <w:szCs w:val="18"/>
              </w:rPr>
              <w:t>6.000,00</w:t>
            </w:r>
          </w:p>
        </w:tc>
      </w:tr>
      <w:tr w:rsidR="00A20480" w14:paraId="1E4AB260"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6E2385EE" w14:textId="77777777" w:rsidR="00A20480" w:rsidRDefault="00A20480">
            <w:pPr>
              <w:autoSpaceDE/>
              <w:ind w:firstLineChars="100" w:firstLine="180"/>
              <w:rPr>
                <w:rFonts w:ascii="Arial" w:hAnsi="Arial" w:cs="Arial"/>
                <w:sz w:val="18"/>
                <w:szCs w:val="18"/>
              </w:rPr>
            </w:pPr>
            <w:r>
              <w:rPr>
                <w:rFonts w:ascii="Arial" w:hAnsi="Arial" w:cs="Arial"/>
                <w:sz w:val="18"/>
                <w:szCs w:val="18"/>
              </w:rPr>
              <w:t>Impresoras multifunción</w:t>
            </w:r>
          </w:p>
        </w:tc>
        <w:tc>
          <w:tcPr>
            <w:tcW w:w="1308" w:type="dxa"/>
            <w:tcBorders>
              <w:top w:val="single" w:sz="4" w:space="0" w:color="auto"/>
              <w:left w:val="nil"/>
              <w:bottom w:val="single" w:sz="4" w:space="0" w:color="auto"/>
              <w:right w:val="nil"/>
            </w:tcBorders>
            <w:noWrap/>
            <w:vAlign w:val="center"/>
            <w:hideMark/>
          </w:tcPr>
          <w:p w14:paraId="63D5DB4B" w14:textId="77777777" w:rsidR="00A20480" w:rsidRDefault="00A20480">
            <w:pPr>
              <w:autoSpaceDE/>
              <w:jc w:val="right"/>
              <w:rPr>
                <w:rFonts w:ascii="Arial" w:hAnsi="Arial" w:cs="Arial"/>
                <w:sz w:val="18"/>
                <w:szCs w:val="18"/>
              </w:rPr>
            </w:pPr>
            <w:r>
              <w:rPr>
                <w:rFonts w:ascii="Arial" w:hAnsi="Arial" w:cs="Arial"/>
                <w:sz w:val="18"/>
                <w:szCs w:val="18"/>
              </w:rPr>
              <w:t>300,00</w:t>
            </w:r>
          </w:p>
        </w:tc>
      </w:tr>
      <w:tr w:rsidR="00A20480" w14:paraId="48690B49"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32A9D675" w14:textId="77777777" w:rsidR="00A20480" w:rsidRDefault="00A20480">
            <w:pPr>
              <w:autoSpaceDE/>
              <w:ind w:firstLineChars="100" w:firstLine="180"/>
              <w:rPr>
                <w:rFonts w:ascii="Arial" w:hAnsi="Arial" w:cs="Arial"/>
                <w:sz w:val="18"/>
                <w:szCs w:val="18"/>
              </w:rPr>
            </w:pPr>
            <w:r>
              <w:rPr>
                <w:rFonts w:ascii="Arial" w:hAnsi="Arial" w:cs="Arial"/>
                <w:sz w:val="18"/>
                <w:szCs w:val="18"/>
              </w:rPr>
              <w:t>Proyector portátil / Pantalla eléctrica pared (cursos)</w:t>
            </w:r>
          </w:p>
        </w:tc>
        <w:tc>
          <w:tcPr>
            <w:tcW w:w="1308" w:type="dxa"/>
            <w:tcBorders>
              <w:top w:val="single" w:sz="4" w:space="0" w:color="auto"/>
              <w:left w:val="nil"/>
              <w:bottom w:val="single" w:sz="4" w:space="0" w:color="auto"/>
              <w:right w:val="nil"/>
            </w:tcBorders>
            <w:noWrap/>
            <w:vAlign w:val="center"/>
            <w:hideMark/>
          </w:tcPr>
          <w:p w14:paraId="38950838" w14:textId="77777777" w:rsidR="00A20480" w:rsidRDefault="00A20480">
            <w:pPr>
              <w:autoSpaceDE/>
              <w:jc w:val="right"/>
              <w:rPr>
                <w:rFonts w:ascii="Arial" w:hAnsi="Arial" w:cs="Arial"/>
                <w:sz w:val="18"/>
                <w:szCs w:val="18"/>
              </w:rPr>
            </w:pPr>
            <w:r>
              <w:rPr>
                <w:rFonts w:ascii="Arial" w:hAnsi="Arial" w:cs="Arial"/>
                <w:sz w:val="18"/>
                <w:szCs w:val="18"/>
              </w:rPr>
              <w:t>1.500,00</w:t>
            </w:r>
          </w:p>
        </w:tc>
      </w:tr>
      <w:tr w:rsidR="00A20480" w14:paraId="72C839B9"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0E2B92E" w14:textId="77777777" w:rsidR="00A20480" w:rsidRDefault="00A20480">
            <w:pPr>
              <w:autoSpaceDE/>
              <w:ind w:firstLineChars="100" w:firstLine="180"/>
              <w:rPr>
                <w:rFonts w:ascii="Arial" w:hAnsi="Arial" w:cs="Arial"/>
                <w:sz w:val="18"/>
                <w:szCs w:val="18"/>
              </w:rPr>
            </w:pPr>
            <w:r>
              <w:rPr>
                <w:rFonts w:ascii="Arial" w:hAnsi="Arial" w:cs="Arial"/>
                <w:sz w:val="18"/>
                <w:szCs w:val="18"/>
              </w:rPr>
              <w:t>Ordenador fijo para formación</w:t>
            </w:r>
          </w:p>
        </w:tc>
        <w:tc>
          <w:tcPr>
            <w:tcW w:w="1308" w:type="dxa"/>
            <w:tcBorders>
              <w:top w:val="single" w:sz="4" w:space="0" w:color="auto"/>
              <w:left w:val="nil"/>
              <w:bottom w:val="single" w:sz="4" w:space="0" w:color="auto"/>
              <w:right w:val="nil"/>
            </w:tcBorders>
            <w:noWrap/>
            <w:vAlign w:val="center"/>
            <w:hideMark/>
          </w:tcPr>
          <w:p w14:paraId="14E6BC08" w14:textId="77777777" w:rsidR="00A20480" w:rsidRDefault="00A20480">
            <w:pPr>
              <w:autoSpaceDE/>
              <w:jc w:val="right"/>
              <w:rPr>
                <w:rFonts w:ascii="Arial" w:hAnsi="Arial" w:cs="Arial"/>
                <w:sz w:val="18"/>
                <w:szCs w:val="18"/>
              </w:rPr>
            </w:pPr>
            <w:r>
              <w:rPr>
                <w:rFonts w:ascii="Arial" w:hAnsi="Arial" w:cs="Arial"/>
                <w:sz w:val="18"/>
                <w:szCs w:val="18"/>
              </w:rPr>
              <w:t>680,00</w:t>
            </w:r>
          </w:p>
        </w:tc>
      </w:tr>
      <w:tr w:rsidR="00A20480" w14:paraId="7CA96989" w14:textId="77777777" w:rsidTr="00A20480">
        <w:trPr>
          <w:trHeight w:val="315"/>
        </w:trPr>
        <w:tc>
          <w:tcPr>
            <w:tcW w:w="7230" w:type="dxa"/>
            <w:tcBorders>
              <w:top w:val="single" w:sz="4" w:space="0" w:color="auto"/>
              <w:left w:val="nil"/>
              <w:bottom w:val="single" w:sz="8" w:space="0" w:color="auto"/>
              <w:right w:val="nil"/>
            </w:tcBorders>
            <w:noWrap/>
            <w:vAlign w:val="center"/>
            <w:hideMark/>
          </w:tcPr>
          <w:p w14:paraId="065B6A1B" w14:textId="77777777" w:rsidR="00A20480" w:rsidRDefault="00A20480">
            <w:pPr>
              <w:autoSpaceDE/>
              <w:ind w:firstLineChars="100" w:firstLine="180"/>
              <w:rPr>
                <w:rFonts w:ascii="Arial" w:hAnsi="Arial" w:cs="Arial"/>
                <w:sz w:val="18"/>
                <w:szCs w:val="18"/>
              </w:rPr>
            </w:pPr>
            <w:r>
              <w:rPr>
                <w:rFonts w:ascii="Arial" w:hAnsi="Arial" w:cs="Arial"/>
                <w:sz w:val="18"/>
                <w:szCs w:val="18"/>
              </w:rPr>
              <w:t>Ordenador sobremesa oficinas y del personal</w:t>
            </w:r>
          </w:p>
        </w:tc>
        <w:tc>
          <w:tcPr>
            <w:tcW w:w="1308" w:type="dxa"/>
            <w:tcBorders>
              <w:top w:val="single" w:sz="4" w:space="0" w:color="auto"/>
              <w:left w:val="nil"/>
              <w:bottom w:val="single" w:sz="8" w:space="0" w:color="auto"/>
              <w:right w:val="nil"/>
            </w:tcBorders>
            <w:noWrap/>
            <w:vAlign w:val="center"/>
            <w:hideMark/>
          </w:tcPr>
          <w:p w14:paraId="7C023B49" w14:textId="77777777" w:rsidR="00A20480" w:rsidRDefault="00A20480">
            <w:pPr>
              <w:autoSpaceDE/>
              <w:jc w:val="right"/>
              <w:rPr>
                <w:rFonts w:ascii="Arial" w:hAnsi="Arial" w:cs="Arial"/>
                <w:sz w:val="18"/>
                <w:szCs w:val="18"/>
              </w:rPr>
            </w:pPr>
            <w:r>
              <w:rPr>
                <w:rFonts w:ascii="Arial" w:hAnsi="Arial" w:cs="Arial"/>
                <w:sz w:val="18"/>
                <w:szCs w:val="18"/>
              </w:rPr>
              <w:t>1.360,00</w:t>
            </w:r>
          </w:p>
        </w:tc>
      </w:tr>
      <w:tr w:rsidR="00A20480" w14:paraId="365C606E"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0A429D17" w14:textId="77777777" w:rsidR="00A20480" w:rsidRDefault="00A20480">
            <w:pPr>
              <w:autoSpaceDE/>
              <w:jc w:val="center"/>
              <w:rPr>
                <w:rFonts w:ascii="Arial" w:hAnsi="Arial" w:cs="Arial"/>
                <w:b/>
                <w:bCs/>
              </w:rPr>
            </w:pPr>
            <w:r>
              <w:rPr>
                <w:rFonts w:ascii="Arial" w:hAnsi="Arial" w:cs="Arial"/>
                <w:b/>
                <w:bCs/>
              </w:rPr>
              <w:t>EQUIPOS DE COMUNICACIÓN</w:t>
            </w:r>
          </w:p>
        </w:tc>
        <w:tc>
          <w:tcPr>
            <w:tcW w:w="1308"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3891399F" w14:textId="77777777" w:rsidR="00A20480" w:rsidRDefault="00A20480">
            <w:pPr>
              <w:autoSpaceDE/>
              <w:jc w:val="right"/>
              <w:rPr>
                <w:rFonts w:ascii="Arial" w:hAnsi="Arial" w:cs="Arial"/>
                <w:b/>
                <w:bCs/>
              </w:rPr>
            </w:pPr>
            <w:r>
              <w:rPr>
                <w:rFonts w:ascii="Arial" w:hAnsi="Arial" w:cs="Arial"/>
                <w:b/>
                <w:bCs/>
              </w:rPr>
              <w:t>20.650,00</w:t>
            </w:r>
          </w:p>
        </w:tc>
      </w:tr>
      <w:tr w:rsidR="00A20480" w14:paraId="304C62BB" w14:textId="77777777" w:rsidTr="00A20480">
        <w:trPr>
          <w:trHeight w:val="315"/>
        </w:trPr>
        <w:tc>
          <w:tcPr>
            <w:tcW w:w="7230" w:type="dxa"/>
            <w:tcBorders>
              <w:top w:val="single" w:sz="8" w:space="0" w:color="auto"/>
              <w:left w:val="nil"/>
              <w:bottom w:val="single" w:sz="4" w:space="0" w:color="auto"/>
              <w:right w:val="nil"/>
            </w:tcBorders>
            <w:noWrap/>
            <w:vAlign w:val="center"/>
            <w:hideMark/>
          </w:tcPr>
          <w:p w14:paraId="10EC235F" w14:textId="77777777" w:rsidR="00A20480" w:rsidRDefault="00A20480">
            <w:pPr>
              <w:autoSpaceDE/>
              <w:ind w:firstLineChars="100" w:firstLine="180"/>
              <w:rPr>
                <w:rFonts w:ascii="Arial" w:hAnsi="Arial" w:cs="Arial"/>
                <w:sz w:val="18"/>
                <w:szCs w:val="18"/>
              </w:rPr>
            </w:pPr>
            <w:r>
              <w:rPr>
                <w:rFonts w:ascii="Arial" w:hAnsi="Arial" w:cs="Arial"/>
                <w:sz w:val="18"/>
                <w:szCs w:val="18"/>
              </w:rPr>
              <w:t>Teléfono Vía satélite</w:t>
            </w:r>
          </w:p>
        </w:tc>
        <w:tc>
          <w:tcPr>
            <w:tcW w:w="1308" w:type="dxa"/>
            <w:tcBorders>
              <w:top w:val="single" w:sz="8" w:space="0" w:color="auto"/>
              <w:left w:val="nil"/>
              <w:bottom w:val="single" w:sz="4" w:space="0" w:color="auto"/>
              <w:right w:val="nil"/>
            </w:tcBorders>
            <w:noWrap/>
            <w:vAlign w:val="center"/>
            <w:hideMark/>
          </w:tcPr>
          <w:p w14:paraId="4E15AAF5"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1.000,00</w:t>
            </w:r>
          </w:p>
        </w:tc>
      </w:tr>
      <w:tr w:rsidR="00A20480" w14:paraId="0B9E04E2"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D745EB8" w14:textId="77777777" w:rsidR="00A20480" w:rsidRDefault="00A20480">
            <w:pPr>
              <w:autoSpaceDE/>
              <w:ind w:firstLineChars="100" w:firstLine="180"/>
              <w:rPr>
                <w:rFonts w:ascii="Arial" w:hAnsi="Arial" w:cs="Arial"/>
                <w:sz w:val="18"/>
                <w:szCs w:val="18"/>
              </w:rPr>
            </w:pPr>
            <w:r>
              <w:rPr>
                <w:rFonts w:ascii="Arial" w:hAnsi="Arial" w:cs="Arial"/>
                <w:sz w:val="18"/>
                <w:szCs w:val="18"/>
              </w:rPr>
              <w:t>Conexión de todos los centros a la fibra óptica del Cabildo Insular</w:t>
            </w:r>
          </w:p>
        </w:tc>
        <w:tc>
          <w:tcPr>
            <w:tcW w:w="1308" w:type="dxa"/>
            <w:tcBorders>
              <w:top w:val="single" w:sz="4" w:space="0" w:color="auto"/>
              <w:left w:val="nil"/>
              <w:bottom w:val="single" w:sz="4" w:space="0" w:color="auto"/>
              <w:right w:val="nil"/>
            </w:tcBorders>
            <w:noWrap/>
            <w:vAlign w:val="center"/>
            <w:hideMark/>
          </w:tcPr>
          <w:p w14:paraId="7462C149" w14:textId="77777777" w:rsidR="00A20480" w:rsidRDefault="00A20480">
            <w:pPr>
              <w:autoSpaceDE/>
              <w:jc w:val="right"/>
              <w:rPr>
                <w:rFonts w:ascii="Arial" w:hAnsi="Arial" w:cs="Arial"/>
                <w:sz w:val="18"/>
                <w:szCs w:val="18"/>
              </w:rPr>
            </w:pPr>
            <w:r>
              <w:rPr>
                <w:rFonts w:ascii="Arial" w:hAnsi="Arial" w:cs="Arial"/>
                <w:sz w:val="18"/>
                <w:szCs w:val="18"/>
              </w:rPr>
              <w:t>1.450,00</w:t>
            </w:r>
          </w:p>
        </w:tc>
      </w:tr>
      <w:tr w:rsidR="00A20480" w14:paraId="6F907A2D"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482E1337" w14:textId="77777777" w:rsidR="00A20480" w:rsidRDefault="00A20480">
            <w:pPr>
              <w:autoSpaceDE/>
              <w:ind w:firstLineChars="100" w:firstLine="180"/>
              <w:rPr>
                <w:rFonts w:ascii="Arial" w:hAnsi="Arial" w:cs="Arial"/>
                <w:sz w:val="18"/>
                <w:szCs w:val="18"/>
              </w:rPr>
            </w:pPr>
            <w:r>
              <w:rPr>
                <w:rFonts w:ascii="Arial" w:hAnsi="Arial" w:cs="Arial"/>
                <w:sz w:val="18"/>
                <w:szCs w:val="18"/>
              </w:rPr>
              <w:t>Repetidores digitales (Sustitución de analógicos)</w:t>
            </w:r>
          </w:p>
        </w:tc>
        <w:tc>
          <w:tcPr>
            <w:tcW w:w="1308" w:type="dxa"/>
            <w:tcBorders>
              <w:top w:val="single" w:sz="4" w:space="0" w:color="auto"/>
              <w:left w:val="nil"/>
              <w:bottom w:val="single" w:sz="4" w:space="0" w:color="auto"/>
              <w:right w:val="nil"/>
            </w:tcBorders>
            <w:noWrap/>
            <w:vAlign w:val="center"/>
            <w:hideMark/>
          </w:tcPr>
          <w:p w14:paraId="2AA3F8E7" w14:textId="77777777" w:rsidR="00A20480" w:rsidRDefault="00A20480">
            <w:pPr>
              <w:autoSpaceDE/>
              <w:jc w:val="right"/>
              <w:rPr>
                <w:rFonts w:ascii="Arial" w:hAnsi="Arial" w:cs="Arial"/>
                <w:sz w:val="18"/>
                <w:szCs w:val="18"/>
              </w:rPr>
            </w:pPr>
            <w:r>
              <w:rPr>
                <w:rFonts w:ascii="Arial" w:hAnsi="Arial" w:cs="Arial"/>
                <w:sz w:val="18"/>
                <w:szCs w:val="18"/>
              </w:rPr>
              <w:t>5.000,00</w:t>
            </w:r>
          </w:p>
        </w:tc>
      </w:tr>
      <w:tr w:rsidR="00A20480" w14:paraId="53611FBC" w14:textId="77777777" w:rsidTr="00A20480">
        <w:trPr>
          <w:trHeight w:val="315"/>
        </w:trPr>
        <w:tc>
          <w:tcPr>
            <w:tcW w:w="7230" w:type="dxa"/>
            <w:tcBorders>
              <w:top w:val="single" w:sz="4" w:space="0" w:color="auto"/>
              <w:left w:val="nil"/>
              <w:bottom w:val="single" w:sz="8" w:space="0" w:color="auto"/>
              <w:right w:val="nil"/>
            </w:tcBorders>
            <w:noWrap/>
            <w:vAlign w:val="center"/>
            <w:hideMark/>
          </w:tcPr>
          <w:p w14:paraId="14ABFC66" w14:textId="77777777" w:rsidR="00A20480" w:rsidRDefault="00A20480">
            <w:pPr>
              <w:autoSpaceDE/>
              <w:ind w:firstLineChars="100" w:firstLine="180"/>
              <w:rPr>
                <w:rFonts w:ascii="Arial" w:hAnsi="Arial" w:cs="Arial"/>
                <w:sz w:val="18"/>
                <w:szCs w:val="18"/>
              </w:rPr>
            </w:pPr>
            <w:r>
              <w:rPr>
                <w:rFonts w:ascii="Arial" w:hAnsi="Arial" w:cs="Arial"/>
                <w:sz w:val="18"/>
                <w:szCs w:val="18"/>
              </w:rPr>
              <w:t>Comunicaciones (emisoras DMR, Tetra, caja emisora, baterías)</w:t>
            </w:r>
          </w:p>
        </w:tc>
        <w:tc>
          <w:tcPr>
            <w:tcW w:w="1308" w:type="dxa"/>
            <w:tcBorders>
              <w:top w:val="single" w:sz="4" w:space="0" w:color="auto"/>
              <w:left w:val="nil"/>
              <w:bottom w:val="single" w:sz="8" w:space="0" w:color="auto"/>
              <w:right w:val="nil"/>
            </w:tcBorders>
            <w:noWrap/>
            <w:vAlign w:val="center"/>
            <w:hideMark/>
          </w:tcPr>
          <w:p w14:paraId="24FE85D6" w14:textId="77777777" w:rsidR="00A20480" w:rsidRDefault="00A20480">
            <w:pPr>
              <w:autoSpaceDE/>
              <w:jc w:val="right"/>
              <w:rPr>
                <w:rFonts w:ascii="Arial" w:hAnsi="Arial" w:cs="Arial"/>
                <w:sz w:val="18"/>
                <w:szCs w:val="18"/>
              </w:rPr>
            </w:pPr>
            <w:r>
              <w:rPr>
                <w:rFonts w:ascii="Arial" w:hAnsi="Arial" w:cs="Arial"/>
                <w:sz w:val="18"/>
                <w:szCs w:val="18"/>
              </w:rPr>
              <w:t>13.200,00</w:t>
            </w:r>
          </w:p>
        </w:tc>
      </w:tr>
      <w:tr w:rsidR="00A20480" w14:paraId="63723472"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500B4397" w14:textId="77777777" w:rsidR="00A20480" w:rsidRDefault="00A20480">
            <w:pPr>
              <w:autoSpaceDE/>
              <w:jc w:val="center"/>
              <w:rPr>
                <w:rFonts w:ascii="Arial" w:hAnsi="Arial" w:cs="Arial"/>
                <w:b/>
                <w:bCs/>
              </w:rPr>
            </w:pPr>
            <w:r>
              <w:rPr>
                <w:rFonts w:ascii="Arial" w:hAnsi="Arial" w:cs="Arial"/>
                <w:b/>
                <w:bCs/>
              </w:rPr>
              <w:t>OTROS BIENES</w:t>
            </w:r>
          </w:p>
        </w:tc>
        <w:tc>
          <w:tcPr>
            <w:tcW w:w="1308"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5B2CDEF5" w14:textId="77777777" w:rsidR="00A20480" w:rsidRDefault="00A20480">
            <w:pPr>
              <w:autoSpaceDE/>
              <w:jc w:val="right"/>
              <w:rPr>
                <w:rFonts w:ascii="Arial" w:hAnsi="Arial" w:cs="Arial"/>
                <w:b/>
                <w:bCs/>
              </w:rPr>
            </w:pPr>
            <w:r>
              <w:rPr>
                <w:rFonts w:ascii="Arial" w:hAnsi="Arial" w:cs="Arial"/>
                <w:b/>
                <w:bCs/>
              </w:rPr>
              <w:t>12.860,00</w:t>
            </w:r>
          </w:p>
        </w:tc>
      </w:tr>
      <w:tr w:rsidR="00A20480" w14:paraId="6CBF0754" w14:textId="77777777" w:rsidTr="00A20480">
        <w:trPr>
          <w:trHeight w:val="300"/>
        </w:trPr>
        <w:tc>
          <w:tcPr>
            <w:tcW w:w="7230" w:type="dxa"/>
            <w:tcBorders>
              <w:top w:val="single" w:sz="8" w:space="0" w:color="auto"/>
              <w:left w:val="nil"/>
              <w:bottom w:val="single" w:sz="4" w:space="0" w:color="auto"/>
              <w:right w:val="nil"/>
            </w:tcBorders>
            <w:noWrap/>
            <w:vAlign w:val="center"/>
            <w:hideMark/>
          </w:tcPr>
          <w:p w14:paraId="2F52D248" w14:textId="77777777" w:rsidR="00A20480" w:rsidRDefault="00A20480">
            <w:pPr>
              <w:autoSpaceDE/>
              <w:ind w:firstLineChars="100" w:firstLine="180"/>
              <w:rPr>
                <w:rFonts w:ascii="Arial" w:hAnsi="Arial" w:cs="Arial"/>
                <w:sz w:val="18"/>
                <w:szCs w:val="18"/>
              </w:rPr>
            </w:pPr>
            <w:r>
              <w:rPr>
                <w:rFonts w:ascii="Arial" w:hAnsi="Arial" w:cs="Arial"/>
                <w:sz w:val="18"/>
                <w:szCs w:val="18"/>
              </w:rPr>
              <w:t>Neveras para cocina</w:t>
            </w:r>
          </w:p>
        </w:tc>
        <w:tc>
          <w:tcPr>
            <w:tcW w:w="1308" w:type="dxa"/>
            <w:tcBorders>
              <w:top w:val="single" w:sz="8" w:space="0" w:color="auto"/>
              <w:left w:val="nil"/>
              <w:bottom w:val="single" w:sz="4" w:space="0" w:color="auto"/>
              <w:right w:val="nil"/>
            </w:tcBorders>
            <w:noWrap/>
            <w:vAlign w:val="center"/>
            <w:hideMark/>
          </w:tcPr>
          <w:p w14:paraId="1759D7F8" w14:textId="77777777" w:rsidR="00A20480" w:rsidRDefault="00A20480">
            <w:pPr>
              <w:autoSpaceDE/>
              <w:jc w:val="right"/>
              <w:rPr>
                <w:rFonts w:ascii="Arial" w:hAnsi="Arial" w:cs="Arial"/>
                <w:sz w:val="18"/>
                <w:szCs w:val="18"/>
              </w:rPr>
            </w:pPr>
            <w:r>
              <w:rPr>
                <w:rFonts w:ascii="Arial" w:hAnsi="Arial" w:cs="Arial"/>
                <w:sz w:val="18"/>
                <w:szCs w:val="18"/>
              </w:rPr>
              <w:t>2.000,00</w:t>
            </w:r>
          </w:p>
        </w:tc>
      </w:tr>
      <w:tr w:rsidR="00A20480" w14:paraId="6A2CBE57"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789113B" w14:textId="77777777" w:rsidR="00A20480" w:rsidRDefault="00A20480">
            <w:pPr>
              <w:autoSpaceDE/>
              <w:ind w:firstLineChars="100" w:firstLine="180"/>
              <w:rPr>
                <w:rFonts w:ascii="Arial" w:hAnsi="Arial" w:cs="Arial"/>
                <w:sz w:val="18"/>
                <w:szCs w:val="18"/>
              </w:rPr>
            </w:pPr>
            <w:r>
              <w:rPr>
                <w:rFonts w:ascii="Arial" w:hAnsi="Arial" w:cs="Arial"/>
                <w:sz w:val="18"/>
                <w:szCs w:val="18"/>
              </w:rPr>
              <w:t>Nevera de mostrador</w:t>
            </w:r>
          </w:p>
        </w:tc>
        <w:tc>
          <w:tcPr>
            <w:tcW w:w="1308" w:type="dxa"/>
            <w:tcBorders>
              <w:top w:val="single" w:sz="4" w:space="0" w:color="auto"/>
              <w:left w:val="nil"/>
              <w:bottom w:val="single" w:sz="4" w:space="0" w:color="auto"/>
              <w:right w:val="nil"/>
            </w:tcBorders>
            <w:noWrap/>
            <w:vAlign w:val="center"/>
            <w:hideMark/>
          </w:tcPr>
          <w:p w14:paraId="6066FE0A" w14:textId="77777777" w:rsidR="00A20480" w:rsidRDefault="00A20480">
            <w:pPr>
              <w:autoSpaceDE/>
              <w:jc w:val="right"/>
              <w:rPr>
                <w:rFonts w:ascii="Arial" w:hAnsi="Arial" w:cs="Arial"/>
                <w:sz w:val="18"/>
                <w:szCs w:val="18"/>
              </w:rPr>
            </w:pPr>
            <w:r>
              <w:rPr>
                <w:rFonts w:ascii="Arial" w:hAnsi="Arial" w:cs="Arial"/>
                <w:sz w:val="18"/>
                <w:szCs w:val="18"/>
              </w:rPr>
              <w:t>800,00</w:t>
            </w:r>
          </w:p>
        </w:tc>
      </w:tr>
      <w:tr w:rsidR="00A20480" w14:paraId="312EF481"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518F0159" w14:textId="77777777" w:rsidR="00A20480" w:rsidRDefault="00A20480">
            <w:pPr>
              <w:autoSpaceDE/>
              <w:ind w:firstLineChars="100" w:firstLine="180"/>
              <w:rPr>
                <w:rFonts w:ascii="Arial" w:hAnsi="Arial" w:cs="Arial"/>
                <w:sz w:val="18"/>
                <w:szCs w:val="18"/>
              </w:rPr>
            </w:pPr>
            <w:r>
              <w:rPr>
                <w:rFonts w:ascii="Arial" w:hAnsi="Arial" w:cs="Arial"/>
                <w:sz w:val="18"/>
                <w:szCs w:val="18"/>
              </w:rPr>
              <w:t>Enseres</w:t>
            </w:r>
          </w:p>
        </w:tc>
        <w:tc>
          <w:tcPr>
            <w:tcW w:w="1308" w:type="dxa"/>
            <w:tcBorders>
              <w:top w:val="single" w:sz="4" w:space="0" w:color="auto"/>
              <w:left w:val="nil"/>
              <w:bottom w:val="single" w:sz="4" w:space="0" w:color="auto"/>
              <w:right w:val="nil"/>
            </w:tcBorders>
            <w:noWrap/>
            <w:vAlign w:val="center"/>
            <w:hideMark/>
          </w:tcPr>
          <w:p w14:paraId="763382D4" w14:textId="77777777" w:rsidR="00A20480" w:rsidRDefault="00A20480">
            <w:pPr>
              <w:autoSpaceDE/>
              <w:jc w:val="right"/>
              <w:rPr>
                <w:rFonts w:ascii="Arial" w:hAnsi="Arial" w:cs="Arial"/>
                <w:sz w:val="18"/>
                <w:szCs w:val="18"/>
              </w:rPr>
            </w:pPr>
            <w:r>
              <w:rPr>
                <w:rFonts w:ascii="Arial" w:hAnsi="Arial" w:cs="Arial"/>
                <w:sz w:val="18"/>
                <w:szCs w:val="18"/>
              </w:rPr>
              <w:t>3.000,00</w:t>
            </w:r>
          </w:p>
        </w:tc>
      </w:tr>
      <w:tr w:rsidR="00A20480" w14:paraId="27032ADA"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166CB82" w14:textId="77777777" w:rsidR="00A20480" w:rsidRDefault="00A20480">
            <w:pPr>
              <w:autoSpaceDE/>
              <w:ind w:firstLineChars="100" w:firstLine="180"/>
              <w:rPr>
                <w:rFonts w:ascii="Arial" w:hAnsi="Arial" w:cs="Arial"/>
                <w:sz w:val="18"/>
                <w:szCs w:val="18"/>
              </w:rPr>
            </w:pPr>
            <w:r>
              <w:rPr>
                <w:rFonts w:ascii="Arial" w:hAnsi="Arial" w:cs="Arial"/>
                <w:sz w:val="18"/>
                <w:szCs w:val="18"/>
              </w:rPr>
              <w:t>Cinta para correr para el gimnasio</w:t>
            </w:r>
          </w:p>
        </w:tc>
        <w:tc>
          <w:tcPr>
            <w:tcW w:w="1308" w:type="dxa"/>
            <w:tcBorders>
              <w:top w:val="single" w:sz="4" w:space="0" w:color="auto"/>
              <w:left w:val="nil"/>
              <w:bottom w:val="single" w:sz="4" w:space="0" w:color="auto"/>
              <w:right w:val="nil"/>
            </w:tcBorders>
            <w:noWrap/>
            <w:vAlign w:val="center"/>
            <w:hideMark/>
          </w:tcPr>
          <w:p w14:paraId="0F9A217B" w14:textId="77777777" w:rsidR="00A20480" w:rsidRDefault="00A20480">
            <w:pPr>
              <w:autoSpaceDE/>
              <w:jc w:val="right"/>
              <w:rPr>
                <w:rFonts w:ascii="Arial" w:hAnsi="Arial" w:cs="Arial"/>
                <w:sz w:val="18"/>
                <w:szCs w:val="18"/>
              </w:rPr>
            </w:pPr>
            <w:r>
              <w:rPr>
                <w:rFonts w:ascii="Arial" w:hAnsi="Arial" w:cs="Arial"/>
                <w:sz w:val="18"/>
                <w:szCs w:val="18"/>
              </w:rPr>
              <w:t>1.000,00</w:t>
            </w:r>
          </w:p>
        </w:tc>
      </w:tr>
      <w:tr w:rsidR="00A20480" w14:paraId="26E0BF09"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3F8FA564" w14:textId="77777777" w:rsidR="00A20480" w:rsidRDefault="00A20480">
            <w:pPr>
              <w:autoSpaceDE/>
              <w:ind w:firstLineChars="100" w:firstLine="180"/>
              <w:rPr>
                <w:rFonts w:ascii="Arial" w:hAnsi="Arial" w:cs="Arial"/>
                <w:sz w:val="18"/>
                <w:szCs w:val="18"/>
              </w:rPr>
            </w:pPr>
            <w:r>
              <w:rPr>
                <w:rFonts w:ascii="Arial" w:hAnsi="Arial" w:cs="Arial"/>
                <w:sz w:val="18"/>
                <w:szCs w:val="18"/>
              </w:rPr>
              <w:t>Barras olímpicas gimnasio</w:t>
            </w:r>
          </w:p>
        </w:tc>
        <w:tc>
          <w:tcPr>
            <w:tcW w:w="1308" w:type="dxa"/>
            <w:tcBorders>
              <w:top w:val="single" w:sz="4" w:space="0" w:color="auto"/>
              <w:left w:val="nil"/>
              <w:bottom w:val="single" w:sz="4" w:space="0" w:color="auto"/>
              <w:right w:val="nil"/>
            </w:tcBorders>
            <w:noWrap/>
            <w:vAlign w:val="center"/>
            <w:hideMark/>
          </w:tcPr>
          <w:p w14:paraId="04C8D003" w14:textId="77777777" w:rsidR="00A20480" w:rsidRDefault="00A20480">
            <w:pPr>
              <w:autoSpaceDE/>
              <w:jc w:val="right"/>
              <w:rPr>
                <w:rFonts w:ascii="Arial" w:hAnsi="Arial" w:cs="Arial"/>
                <w:sz w:val="18"/>
                <w:szCs w:val="18"/>
              </w:rPr>
            </w:pPr>
            <w:r>
              <w:rPr>
                <w:rFonts w:ascii="Arial" w:hAnsi="Arial" w:cs="Arial"/>
                <w:sz w:val="18"/>
                <w:szCs w:val="18"/>
              </w:rPr>
              <w:t>200,00</w:t>
            </w:r>
          </w:p>
        </w:tc>
      </w:tr>
      <w:tr w:rsidR="00A20480" w14:paraId="61647B58"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170D7BBD" w14:textId="77777777" w:rsidR="00A20480" w:rsidRDefault="00A20480">
            <w:pPr>
              <w:autoSpaceDE/>
              <w:ind w:firstLineChars="100" w:firstLine="180"/>
              <w:rPr>
                <w:rFonts w:ascii="Arial" w:hAnsi="Arial" w:cs="Arial"/>
                <w:sz w:val="18"/>
                <w:szCs w:val="18"/>
              </w:rPr>
            </w:pPr>
            <w:r>
              <w:rPr>
                <w:rFonts w:ascii="Arial" w:hAnsi="Arial" w:cs="Arial"/>
                <w:sz w:val="18"/>
                <w:szCs w:val="18"/>
              </w:rPr>
              <w:t>Bicicletas estáticas elípticas</w:t>
            </w:r>
          </w:p>
        </w:tc>
        <w:tc>
          <w:tcPr>
            <w:tcW w:w="1308" w:type="dxa"/>
            <w:tcBorders>
              <w:top w:val="single" w:sz="4" w:space="0" w:color="auto"/>
              <w:left w:val="nil"/>
              <w:bottom w:val="single" w:sz="4" w:space="0" w:color="auto"/>
              <w:right w:val="nil"/>
            </w:tcBorders>
            <w:noWrap/>
            <w:vAlign w:val="center"/>
            <w:hideMark/>
          </w:tcPr>
          <w:p w14:paraId="7B50AF5D" w14:textId="77777777" w:rsidR="00A20480" w:rsidRDefault="00A20480">
            <w:pPr>
              <w:autoSpaceDE/>
              <w:jc w:val="right"/>
              <w:rPr>
                <w:rFonts w:ascii="Arial" w:hAnsi="Arial" w:cs="Arial"/>
                <w:sz w:val="18"/>
                <w:szCs w:val="18"/>
              </w:rPr>
            </w:pPr>
            <w:r>
              <w:rPr>
                <w:rFonts w:ascii="Arial" w:hAnsi="Arial" w:cs="Arial"/>
                <w:sz w:val="18"/>
                <w:szCs w:val="18"/>
              </w:rPr>
              <w:t>600,00</w:t>
            </w:r>
          </w:p>
        </w:tc>
      </w:tr>
      <w:tr w:rsidR="00A20480" w14:paraId="33DEE7C0"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66DCC2D9" w14:textId="77777777" w:rsidR="00A20480" w:rsidRDefault="00A20480">
            <w:pPr>
              <w:autoSpaceDE/>
              <w:ind w:firstLineChars="100" w:firstLine="180"/>
              <w:rPr>
                <w:rFonts w:ascii="Arial" w:hAnsi="Arial" w:cs="Arial"/>
                <w:sz w:val="18"/>
                <w:szCs w:val="18"/>
              </w:rPr>
            </w:pPr>
            <w:r>
              <w:rPr>
                <w:rFonts w:ascii="Arial" w:hAnsi="Arial" w:cs="Arial"/>
                <w:sz w:val="18"/>
                <w:szCs w:val="18"/>
              </w:rPr>
              <w:t>Bicicletas estáticas gimnasio</w:t>
            </w:r>
          </w:p>
        </w:tc>
        <w:tc>
          <w:tcPr>
            <w:tcW w:w="1308" w:type="dxa"/>
            <w:tcBorders>
              <w:top w:val="single" w:sz="4" w:space="0" w:color="auto"/>
              <w:left w:val="nil"/>
              <w:bottom w:val="single" w:sz="4" w:space="0" w:color="auto"/>
              <w:right w:val="nil"/>
            </w:tcBorders>
            <w:noWrap/>
            <w:vAlign w:val="center"/>
            <w:hideMark/>
          </w:tcPr>
          <w:p w14:paraId="3E2BDD8B" w14:textId="77777777" w:rsidR="00A20480" w:rsidRDefault="00A20480">
            <w:pPr>
              <w:autoSpaceDE/>
              <w:jc w:val="right"/>
              <w:rPr>
                <w:rFonts w:ascii="Arial" w:hAnsi="Arial" w:cs="Arial"/>
                <w:sz w:val="18"/>
                <w:szCs w:val="18"/>
              </w:rPr>
            </w:pPr>
            <w:r>
              <w:rPr>
                <w:rFonts w:ascii="Arial" w:hAnsi="Arial" w:cs="Arial"/>
                <w:sz w:val="18"/>
                <w:szCs w:val="18"/>
              </w:rPr>
              <w:t>600,00</w:t>
            </w:r>
          </w:p>
        </w:tc>
      </w:tr>
      <w:tr w:rsidR="00A20480" w14:paraId="40A4161B"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96D8AD1" w14:textId="77777777" w:rsidR="00A20480" w:rsidRDefault="00A20480">
            <w:pPr>
              <w:autoSpaceDE/>
              <w:ind w:firstLineChars="100" w:firstLine="180"/>
              <w:rPr>
                <w:rFonts w:ascii="Arial" w:hAnsi="Arial" w:cs="Arial"/>
                <w:sz w:val="18"/>
                <w:szCs w:val="18"/>
              </w:rPr>
            </w:pPr>
            <w:r>
              <w:rPr>
                <w:rFonts w:ascii="Arial" w:hAnsi="Arial" w:cs="Arial"/>
                <w:sz w:val="18"/>
                <w:szCs w:val="18"/>
              </w:rPr>
              <w:t>Máquina elíptica gimnasio</w:t>
            </w:r>
          </w:p>
        </w:tc>
        <w:tc>
          <w:tcPr>
            <w:tcW w:w="1308" w:type="dxa"/>
            <w:tcBorders>
              <w:top w:val="single" w:sz="4" w:space="0" w:color="auto"/>
              <w:left w:val="nil"/>
              <w:bottom w:val="single" w:sz="4" w:space="0" w:color="auto"/>
              <w:right w:val="nil"/>
            </w:tcBorders>
            <w:noWrap/>
            <w:vAlign w:val="center"/>
            <w:hideMark/>
          </w:tcPr>
          <w:p w14:paraId="4A733424" w14:textId="77777777" w:rsidR="00A20480" w:rsidRDefault="00A20480">
            <w:pPr>
              <w:autoSpaceDE/>
              <w:jc w:val="right"/>
              <w:rPr>
                <w:rFonts w:ascii="Arial" w:hAnsi="Arial" w:cs="Arial"/>
                <w:sz w:val="18"/>
                <w:szCs w:val="18"/>
              </w:rPr>
            </w:pPr>
            <w:r>
              <w:rPr>
                <w:rFonts w:ascii="Arial" w:hAnsi="Arial" w:cs="Arial"/>
                <w:sz w:val="18"/>
                <w:szCs w:val="18"/>
              </w:rPr>
              <w:t>2.500,00</w:t>
            </w:r>
          </w:p>
        </w:tc>
      </w:tr>
      <w:tr w:rsidR="00A20480" w14:paraId="6C60EFAA"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1F0D928" w14:textId="77777777" w:rsidR="00A20480" w:rsidRDefault="00A20480">
            <w:pPr>
              <w:autoSpaceDE/>
              <w:ind w:firstLineChars="100" w:firstLine="180"/>
              <w:rPr>
                <w:rFonts w:ascii="Arial" w:hAnsi="Arial" w:cs="Arial"/>
                <w:sz w:val="18"/>
                <w:szCs w:val="18"/>
              </w:rPr>
            </w:pPr>
            <w:r>
              <w:rPr>
                <w:rFonts w:ascii="Arial" w:hAnsi="Arial" w:cs="Arial"/>
                <w:sz w:val="18"/>
                <w:szCs w:val="18"/>
              </w:rPr>
              <w:t>Material gimnasio (</w:t>
            </w:r>
            <w:proofErr w:type="gramStart"/>
            <w:r>
              <w:rPr>
                <w:rFonts w:ascii="Arial" w:hAnsi="Arial" w:cs="Arial"/>
                <w:sz w:val="18"/>
                <w:szCs w:val="18"/>
              </w:rPr>
              <w:t>tensores,…</w:t>
            </w:r>
            <w:proofErr w:type="gramEnd"/>
            <w:r>
              <w:rPr>
                <w:rFonts w:ascii="Arial" w:hAnsi="Arial" w:cs="Arial"/>
                <w:sz w:val="18"/>
                <w:szCs w:val="18"/>
              </w:rPr>
              <w:t>)</w:t>
            </w:r>
          </w:p>
        </w:tc>
        <w:tc>
          <w:tcPr>
            <w:tcW w:w="1308" w:type="dxa"/>
            <w:tcBorders>
              <w:top w:val="single" w:sz="4" w:space="0" w:color="auto"/>
              <w:left w:val="nil"/>
              <w:bottom w:val="single" w:sz="4" w:space="0" w:color="auto"/>
              <w:right w:val="nil"/>
            </w:tcBorders>
            <w:noWrap/>
            <w:vAlign w:val="center"/>
            <w:hideMark/>
          </w:tcPr>
          <w:p w14:paraId="3FC7BB15" w14:textId="77777777" w:rsidR="00A20480" w:rsidRDefault="00A20480">
            <w:pPr>
              <w:autoSpaceDE/>
              <w:jc w:val="right"/>
              <w:rPr>
                <w:rFonts w:ascii="Arial" w:hAnsi="Arial" w:cs="Arial"/>
                <w:sz w:val="18"/>
                <w:szCs w:val="18"/>
              </w:rPr>
            </w:pPr>
            <w:r>
              <w:rPr>
                <w:rFonts w:ascii="Arial" w:hAnsi="Arial" w:cs="Arial"/>
                <w:sz w:val="18"/>
                <w:szCs w:val="18"/>
              </w:rPr>
              <w:t>600,00</w:t>
            </w:r>
          </w:p>
        </w:tc>
      </w:tr>
      <w:tr w:rsidR="00A20480" w14:paraId="101266EF"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5DD74132" w14:textId="77777777" w:rsidR="00A20480" w:rsidRDefault="00A20480">
            <w:pPr>
              <w:autoSpaceDE/>
              <w:ind w:firstLineChars="100" w:firstLine="180"/>
              <w:rPr>
                <w:rFonts w:ascii="Arial" w:hAnsi="Arial" w:cs="Arial"/>
                <w:sz w:val="18"/>
                <w:szCs w:val="18"/>
              </w:rPr>
            </w:pPr>
            <w:r>
              <w:rPr>
                <w:rFonts w:ascii="Arial" w:hAnsi="Arial" w:cs="Arial"/>
                <w:sz w:val="18"/>
                <w:szCs w:val="18"/>
              </w:rPr>
              <w:t>TV sala estar</w:t>
            </w:r>
          </w:p>
        </w:tc>
        <w:tc>
          <w:tcPr>
            <w:tcW w:w="1308" w:type="dxa"/>
            <w:tcBorders>
              <w:top w:val="single" w:sz="4" w:space="0" w:color="auto"/>
              <w:left w:val="nil"/>
              <w:bottom w:val="single" w:sz="4" w:space="0" w:color="auto"/>
              <w:right w:val="nil"/>
            </w:tcBorders>
            <w:noWrap/>
            <w:vAlign w:val="center"/>
            <w:hideMark/>
          </w:tcPr>
          <w:p w14:paraId="25ECFF7F" w14:textId="77777777" w:rsidR="00A20480" w:rsidRDefault="00A20480">
            <w:pPr>
              <w:autoSpaceDE/>
              <w:jc w:val="right"/>
              <w:rPr>
                <w:rFonts w:ascii="Arial" w:hAnsi="Arial" w:cs="Arial"/>
                <w:sz w:val="18"/>
                <w:szCs w:val="18"/>
              </w:rPr>
            </w:pPr>
            <w:r>
              <w:rPr>
                <w:rFonts w:ascii="Arial" w:hAnsi="Arial" w:cs="Arial"/>
                <w:sz w:val="18"/>
                <w:szCs w:val="18"/>
              </w:rPr>
              <w:t>800,00</w:t>
            </w:r>
          </w:p>
        </w:tc>
      </w:tr>
      <w:tr w:rsidR="00A20480" w14:paraId="45F1832C" w14:textId="77777777" w:rsidTr="00A20480">
        <w:trPr>
          <w:trHeight w:val="315"/>
        </w:trPr>
        <w:tc>
          <w:tcPr>
            <w:tcW w:w="7230" w:type="dxa"/>
            <w:tcBorders>
              <w:top w:val="single" w:sz="4" w:space="0" w:color="auto"/>
              <w:left w:val="nil"/>
              <w:bottom w:val="single" w:sz="8" w:space="0" w:color="auto"/>
              <w:right w:val="nil"/>
            </w:tcBorders>
            <w:noWrap/>
            <w:vAlign w:val="center"/>
            <w:hideMark/>
          </w:tcPr>
          <w:p w14:paraId="2D03905A" w14:textId="77777777" w:rsidR="00A20480" w:rsidRDefault="00A20480">
            <w:pPr>
              <w:autoSpaceDE/>
              <w:ind w:firstLineChars="100" w:firstLine="180"/>
              <w:rPr>
                <w:rFonts w:ascii="Arial" w:hAnsi="Arial" w:cs="Arial"/>
                <w:sz w:val="18"/>
                <w:szCs w:val="18"/>
              </w:rPr>
            </w:pPr>
            <w:r>
              <w:rPr>
                <w:rFonts w:ascii="Arial" w:hAnsi="Arial" w:cs="Arial"/>
                <w:sz w:val="18"/>
                <w:szCs w:val="18"/>
              </w:rPr>
              <w:t>Contenedor ropa contaminada</w:t>
            </w:r>
          </w:p>
        </w:tc>
        <w:tc>
          <w:tcPr>
            <w:tcW w:w="1308" w:type="dxa"/>
            <w:tcBorders>
              <w:top w:val="single" w:sz="4" w:space="0" w:color="auto"/>
              <w:left w:val="nil"/>
              <w:bottom w:val="single" w:sz="8" w:space="0" w:color="auto"/>
              <w:right w:val="nil"/>
            </w:tcBorders>
            <w:noWrap/>
            <w:vAlign w:val="center"/>
            <w:hideMark/>
          </w:tcPr>
          <w:p w14:paraId="7CC5A901" w14:textId="77777777" w:rsidR="00A20480" w:rsidRDefault="00A20480">
            <w:pPr>
              <w:autoSpaceDE/>
              <w:jc w:val="right"/>
              <w:rPr>
                <w:rFonts w:ascii="Arial" w:hAnsi="Arial" w:cs="Arial"/>
                <w:sz w:val="18"/>
                <w:szCs w:val="18"/>
              </w:rPr>
            </w:pPr>
            <w:r>
              <w:rPr>
                <w:rFonts w:ascii="Arial" w:hAnsi="Arial" w:cs="Arial"/>
                <w:sz w:val="18"/>
                <w:szCs w:val="18"/>
              </w:rPr>
              <w:t>760,00</w:t>
            </w:r>
          </w:p>
        </w:tc>
      </w:tr>
      <w:tr w:rsidR="00A20480" w14:paraId="3A54909D"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5D4219E8" w14:textId="77777777" w:rsidR="00A20480" w:rsidRDefault="00A20480">
            <w:pPr>
              <w:autoSpaceDE/>
              <w:jc w:val="center"/>
              <w:rPr>
                <w:rFonts w:ascii="Arial" w:hAnsi="Arial" w:cs="Arial"/>
                <w:b/>
                <w:bCs/>
              </w:rPr>
            </w:pPr>
            <w:r>
              <w:rPr>
                <w:rFonts w:ascii="Arial" w:hAnsi="Arial" w:cs="Arial"/>
                <w:b/>
                <w:bCs/>
              </w:rPr>
              <w:t>MATERIAL TECNICO OPERATIVO</w:t>
            </w:r>
          </w:p>
        </w:tc>
        <w:tc>
          <w:tcPr>
            <w:tcW w:w="1308"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4BE8BAD6" w14:textId="77777777" w:rsidR="00A20480" w:rsidRDefault="00A20480">
            <w:pPr>
              <w:autoSpaceDE/>
              <w:jc w:val="right"/>
              <w:rPr>
                <w:rFonts w:ascii="Arial" w:hAnsi="Arial" w:cs="Arial"/>
                <w:b/>
                <w:bCs/>
              </w:rPr>
            </w:pPr>
            <w:r>
              <w:rPr>
                <w:rFonts w:ascii="Arial" w:hAnsi="Arial" w:cs="Arial"/>
                <w:b/>
                <w:bCs/>
              </w:rPr>
              <w:t>42.610,00</w:t>
            </w:r>
          </w:p>
        </w:tc>
      </w:tr>
      <w:tr w:rsidR="00A20480" w14:paraId="3F76AB03" w14:textId="77777777" w:rsidTr="00A20480">
        <w:trPr>
          <w:trHeight w:val="300"/>
        </w:trPr>
        <w:tc>
          <w:tcPr>
            <w:tcW w:w="7230" w:type="dxa"/>
            <w:tcBorders>
              <w:top w:val="single" w:sz="8" w:space="0" w:color="auto"/>
              <w:left w:val="nil"/>
              <w:bottom w:val="single" w:sz="4" w:space="0" w:color="auto"/>
              <w:right w:val="nil"/>
            </w:tcBorders>
            <w:noWrap/>
            <w:vAlign w:val="center"/>
            <w:hideMark/>
          </w:tcPr>
          <w:p w14:paraId="593CADF3" w14:textId="77777777" w:rsidR="00A20480" w:rsidRDefault="00A20480">
            <w:pPr>
              <w:autoSpaceDE/>
              <w:ind w:firstLineChars="100" w:firstLine="180"/>
              <w:rPr>
                <w:rFonts w:ascii="Arial" w:hAnsi="Arial" w:cs="Arial"/>
                <w:sz w:val="18"/>
                <w:szCs w:val="18"/>
              </w:rPr>
            </w:pPr>
            <w:r>
              <w:rPr>
                <w:rFonts w:ascii="Arial" w:hAnsi="Arial" w:cs="Arial"/>
                <w:sz w:val="18"/>
                <w:szCs w:val="18"/>
              </w:rPr>
              <w:t>Colchón de vacío</w:t>
            </w:r>
          </w:p>
        </w:tc>
        <w:tc>
          <w:tcPr>
            <w:tcW w:w="1308" w:type="dxa"/>
            <w:tcBorders>
              <w:top w:val="single" w:sz="8" w:space="0" w:color="auto"/>
              <w:left w:val="nil"/>
              <w:bottom w:val="single" w:sz="4" w:space="0" w:color="auto"/>
              <w:right w:val="nil"/>
            </w:tcBorders>
            <w:noWrap/>
            <w:vAlign w:val="center"/>
            <w:hideMark/>
          </w:tcPr>
          <w:p w14:paraId="07EA3818" w14:textId="77777777" w:rsidR="00A20480" w:rsidRDefault="00A20480">
            <w:pPr>
              <w:autoSpaceDE/>
              <w:jc w:val="right"/>
              <w:rPr>
                <w:rFonts w:ascii="Arial" w:hAnsi="Arial" w:cs="Arial"/>
                <w:sz w:val="18"/>
                <w:szCs w:val="18"/>
              </w:rPr>
            </w:pPr>
            <w:r>
              <w:rPr>
                <w:rFonts w:ascii="Arial" w:hAnsi="Arial" w:cs="Arial"/>
                <w:sz w:val="18"/>
                <w:szCs w:val="18"/>
              </w:rPr>
              <w:t>1.500,00</w:t>
            </w:r>
          </w:p>
        </w:tc>
      </w:tr>
      <w:tr w:rsidR="00A20480" w14:paraId="1D1C0308"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468B7811" w14:textId="77777777" w:rsidR="00A20480" w:rsidRDefault="00A20480">
            <w:pPr>
              <w:autoSpaceDE/>
              <w:ind w:firstLineChars="100" w:firstLine="180"/>
              <w:rPr>
                <w:rFonts w:ascii="Arial" w:hAnsi="Arial" w:cs="Arial"/>
                <w:sz w:val="18"/>
                <w:szCs w:val="18"/>
              </w:rPr>
            </w:pPr>
            <w:r>
              <w:rPr>
                <w:rFonts w:ascii="Arial" w:hAnsi="Arial" w:cs="Arial"/>
                <w:sz w:val="18"/>
                <w:szCs w:val="18"/>
              </w:rPr>
              <w:t xml:space="preserve">Equipos de oxigenoterapia </w:t>
            </w:r>
          </w:p>
        </w:tc>
        <w:tc>
          <w:tcPr>
            <w:tcW w:w="1308" w:type="dxa"/>
            <w:tcBorders>
              <w:top w:val="single" w:sz="4" w:space="0" w:color="auto"/>
              <w:left w:val="nil"/>
              <w:bottom w:val="single" w:sz="4" w:space="0" w:color="auto"/>
              <w:right w:val="nil"/>
            </w:tcBorders>
            <w:noWrap/>
            <w:vAlign w:val="center"/>
            <w:hideMark/>
          </w:tcPr>
          <w:p w14:paraId="6F8A062E" w14:textId="77777777" w:rsidR="00A20480" w:rsidRDefault="00A20480">
            <w:pPr>
              <w:autoSpaceDE/>
              <w:jc w:val="right"/>
              <w:rPr>
                <w:rFonts w:ascii="Arial" w:hAnsi="Arial" w:cs="Arial"/>
                <w:sz w:val="18"/>
                <w:szCs w:val="18"/>
              </w:rPr>
            </w:pPr>
            <w:r>
              <w:rPr>
                <w:rFonts w:ascii="Arial" w:hAnsi="Arial" w:cs="Arial"/>
                <w:sz w:val="18"/>
                <w:szCs w:val="18"/>
              </w:rPr>
              <w:t>1.500,00</w:t>
            </w:r>
          </w:p>
        </w:tc>
      </w:tr>
      <w:tr w:rsidR="00A20480" w14:paraId="18726914"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56AD082C" w14:textId="77777777" w:rsidR="00A20480" w:rsidRDefault="00A20480">
            <w:pPr>
              <w:autoSpaceDE/>
              <w:ind w:firstLineChars="100" w:firstLine="180"/>
              <w:rPr>
                <w:rFonts w:ascii="Arial" w:hAnsi="Arial" w:cs="Arial"/>
                <w:sz w:val="18"/>
                <w:szCs w:val="18"/>
              </w:rPr>
            </w:pPr>
            <w:r>
              <w:rPr>
                <w:rFonts w:ascii="Arial" w:hAnsi="Arial" w:cs="Arial"/>
                <w:sz w:val="18"/>
                <w:szCs w:val="18"/>
              </w:rPr>
              <w:t>Cuerdas guías</w:t>
            </w:r>
          </w:p>
        </w:tc>
        <w:tc>
          <w:tcPr>
            <w:tcW w:w="1308" w:type="dxa"/>
            <w:tcBorders>
              <w:top w:val="single" w:sz="4" w:space="0" w:color="auto"/>
              <w:left w:val="nil"/>
              <w:bottom w:val="single" w:sz="4" w:space="0" w:color="auto"/>
              <w:right w:val="nil"/>
            </w:tcBorders>
            <w:noWrap/>
            <w:vAlign w:val="center"/>
            <w:hideMark/>
          </w:tcPr>
          <w:p w14:paraId="471F57A6" w14:textId="77777777" w:rsidR="00A20480" w:rsidRDefault="00A20480">
            <w:pPr>
              <w:autoSpaceDE/>
              <w:jc w:val="right"/>
              <w:rPr>
                <w:rFonts w:ascii="Arial" w:hAnsi="Arial" w:cs="Arial"/>
                <w:sz w:val="18"/>
                <w:szCs w:val="18"/>
              </w:rPr>
            </w:pPr>
            <w:r>
              <w:rPr>
                <w:rFonts w:ascii="Arial" w:hAnsi="Arial" w:cs="Arial"/>
                <w:sz w:val="18"/>
                <w:szCs w:val="18"/>
              </w:rPr>
              <w:t>400,00</w:t>
            </w:r>
          </w:p>
        </w:tc>
      </w:tr>
      <w:tr w:rsidR="00A20480" w14:paraId="79B82355"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835DBB6" w14:textId="77777777" w:rsidR="00A20480" w:rsidRDefault="00A20480">
            <w:pPr>
              <w:autoSpaceDE/>
              <w:ind w:firstLineChars="100" w:firstLine="180"/>
              <w:rPr>
                <w:rFonts w:ascii="Arial" w:hAnsi="Arial" w:cs="Arial"/>
                <w:sz w:val="18"/>
                <w:szCs w:val="18"/>
              </w:rPr>
            </w:pPr>
            <w:r>
              <w:rPr>
                <w:rFonts w:ascii="Arial" w:hAnsi="Arial" w:cs="Arial"/>
                <w:sz w:val="18"/>
                <w:szCs w:val="18"/>
              </w:rPr>
              <w:t>Botellas composite</w:t>
            </w:r>
          </w:p>
        </w:tc>
        <w:tc>
          <w:tcPr>
            <w:tcW w:w="1308" w:type="dxa"/>
            <w:tcBorders>
              <w:top w:val="single" w:sz="4" w:space="0" w:color="auto"/>
              <w:left w:val="nil"/>
              <w:bottom w:val="single" w:sz="4" w:space="0" w:color="auto"/>
              <w:right w:val="nil"/>
            </w:tcBorders>
            <w:noWrap/>
            <w:vAlign w:val="center"/>
            <w:hideMark/>
          </w:tcPr>
          <w:p w14:paraId="453ABED7" w14:textId="77777777" w:rsidR="00A20480" w:rsidRDefault="00A20480">
            <w:pPr>
              <w:autoSpaceDE/>
              <w:jc w:val="right"/>
              <w:rPr>
                <w:rFonts w:ascii="Arial" w:hAnsi="Arial" w:cs="Arial"/>
                <w:sz w:val="18"/>
                <w:szCs w:val="18"/>
              </w:rPr>
            </w:pPr>
            <w:r>
              <w:rPr>
                <w:rFonts w:ascii="Arial" w:hAnsi="Arial" w:cs="Arial"/>
                <w:sz w:val="18"/>
                <w:szCs w:val="18"/>
              </w:rPr>
              <w:t>3.920,00</w:t>
            </w:r>
          </w:p>
        </w:tc>
      </w:tr>
      <w:tr w:rsidR="00A20480" w14:paraId="134621E4"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28305CEE" w14:textId="77777777" w:rsidR="00A20480" w:rsidRDefault="00A20480">
            <w:pPr>
              <w:autoSpaceDE/>
              <w:ind w:firstLineChars="100" w:firstLine="180"/>
              <w:rPr>
                <w:rFonts w:ascii="Arial" w:hAnsi="Arial" w:cs="Arial"/>
                <w:sz w:val="18"/>
                <w:szCs w:val="18"/>
              </w:rPr>
            </w:pPr>
            <w:r>
              <w:rPr>
                <w:rFonts w:ascii="Arial" w:hAnsi="Arial" w:cs="Arial"/>
                <w:sz w:val="18"/>
                <w:szCs w:val="18"/>
              </w:rPr>
              <w:t>Motobombas</w:t>
            </w:r>
          </w:p>
        </w:tc>
        <w:tc>
          <w:tcPr>
            <w:tcW w:w="1308" w:type="dxa"/>
            <w:tcBorders>
              <w:top w:val="single" w:sz="4" w:space="0" w:color="auto"/>
              <w:left w:val="nil"/>
              <w:bottom w:val="single" w:sz="4" w:space="0" w:color="auto"/>
              <w:right w:val="nil"/>
            </w:tcBorders>
            <w:noWrap/>
            <w:vAlign w:val="center"/>
            <w:hideMark/>
          </w:tcPr>
          <w:p w14:paraId="6269E369" w14:textId="77777777" w:rsidR="00A20480" w:rsidRDefault="00A20480">
            <w:pPr>
              <w:autoSpaceDE/>
              <w:jc w:val="right"/>
              <w:rPr>
                <w:rFonts w:ascii="Arial" w:hAnsi="Arial" w:cs="Arial"/>
                <w:sz w:val="18"/>
                <w:szCs w:val="18"/>
              </w:rPr>
            </w:pPr>
            <w:r>
              <w:rPr>
                <w:rFonts w:ascii="Arial" w:hAnsi="Arial" w:cs="Arial"/>
                <w:sz w:val="18"/>
                <w:szCs w:val="18"/>
              </w:rPr>
              <w:t>2.500,00</w:t>
            </w:r>
          </w:p>
        </w:tc>
      </w:tr>
      <w:tr w:rsidR="00A20480" w14:paraId="0C8FC519"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48EED24" w14:textId="77777777" w:rsidR="00A20480" w:rsidRDefault="00A20480">
            <w:pPr>
              <w:autoSpaceDE/>
              <w:ind w:firstLineChars="100" w:firstLine="180"/>
              <w:rPr>
                <w:rFonts w:ascii="Arial" w:hAnsi="Arial" w:cs="Arial"/>
                <w:sz w:val="18"/>
                <w:szCs w:val="18"/>
              </w:rPr>
            </w:pPr>
            <w:r>
              <w:rPr>
                <w:rFonts w:ascii="Arial" w:hAnsi="Arial" w:cs="Arial"/>
                <w:sz w:val="18"/>
                <w:szCs w:val="18"/>
              </w:rPr>
              <w:t>Electrobombas gran caudal para lodos 220 V</w:t>
            </w:r>
          </w:p>
        </w:tc>
        <w:tc>
          <w:tcPr>
            <w:tcW w:w="1308" w:type="dxa"/>
            <w:tcBorders>
              <w:top w:val="single" w:sz="4" w:space="0" w:color="auto"/>
              <w:left w:val="nil"/>
              <w:bottom w:val="single" w:sz="4" w:space="0" w:color="auto"/>
              <w:right w:val="nil"/>
            </w:tcBorders>
            <w:noWrap/>
            <w:vAlign w:val="center"/>
            <w:hideMark/>
          </w:tcPr>
          <w:p w14:paraId="7A2C323A" w14:textId="77777777" w:rsidR="00A20480" w:rsidRDefault="00A20480">
            <w:pPr>
              <w:autoSpaceDE/>
              <w:jc w:val="right"/>
              <w:rPr>
                <w:rFonts w:ascii="Arial" w:hAnsi="Arial" w:cs="Arial"/>
                <w:sz w:val="18"/>
                <w:szCs w:val="18"/>
              </w:rPr>
            </w:pPr>
            <w:r>
              <w:rPr>
                <w:rFonts w:ascii="Arial" w:hAnsi="Arial" w:cs="Arial"/>
                <w:sz w:val="18"/>
                <w:szCs w:val="18"/>
              </w:rPr>
              <w:t>2.900,00</w:t>
            </w:r>
          </w:p>
        </w:tc>
      </w:tr>
      <w:tr w:rsidR="00A20480" w14:paraId="1906E1D8"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2890476" w14:textId="77777777" w:rsidR="00A20480" w:rsidRDefault="00A20480">
            <w:pPr>
              <w:autoSpaceDE/>
              <w:ind w:firstLineChars="100" w:firstLine="180"/>
              <w:rPr>
                <w:rFonts w:ascii="Arial" w:hAnsi="Arial" w:cs="Arial"/>
                <w:sz w:val="18"/>
                <w:szCs w:val="18"/>
              </w:rPr>
            </w:pPr>
            <w:r>
              <w:rPr>
                <w:rFonts w:ascii="Arial" w:hAnsi="Arial" w:cs="Arial"/>
                <w:sz w:val="18"/>
                <w:szCs w:val="18"/>
              </w:rPr>
              <w:t>Electrobombas 220 V</w:t>
            </w:r>
          </w:p>
        </w:tc>
        <w:tc>
          <w:tcPr>
            <w:tcW w:w="1308" w:type="dxa"/>
            <w:tcBorders>
              <w:top w:val="single" w:sz="4" w:space="0" w:color="auto"/>
              <w:left w:val="nil"/>
              <w:bottom w:val="single" w:sz="4" w:space="0" w:color="auto"/>
              <w:right w:val="nil"/>
            </w:tcBorders>
            <w:noWrap/>
            <w:vAlign w:val="center"/>
            <w:hideMark/>
          </w:tcPr>
          <w:p w14:paraId="5D7CD511" w14:textId="77777777" w:rsidR="00A20480" w:rsidRDefault="00A20480">
            <w:pPr>
              <w:autoSpaceDE/>
              <w:jc w:val="right"/>
              <w:rPr>
                <w:rFonts w:ascii="Arial" w:hAnsi="Arial" w:cs="Arial"/>
                <w:sz w:val="18"/>
                <w:szCs w:val="18"/>
              </w:rPr>
            </w:pPr>
            <w:r>
              <w:rPr>
                <w:rFonts w:ascii="Arial" w:hAnsi="Arial" w:cs="Arial"/>
                <w:sz w:val="18"/>
                <w:szCs w:val="18"/>
              </w:rPr>
              <w:t>3.000,00</w:t>
            </w:r>
          </w:p>
        </w:tc>
      </w:tr>
      <w:tr w:rsidR="00A20480" w14:paraId="323F63B4"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3812DED5" w14:textId="77777777" w:rsidR="00A20480" w:rsidRDefault="00A20480">
            <w:pPr>
              <w:autoSpaceDE/>
              <w:ind w:firstLineChars="100" w:firstLine="180"/>
              <w:rPr>
                <w:rFonts w:ascii="Arial" w:hAnsi="Arial" w:cs="Arial"/>
                <w:sz w:val="18"/>
                <w:szCs w:val="18"/>
              </w:rPr>
            </w:pPr>
            <w:r>
              <w:rPr>
                <w:rFonts w:ascii="Arial" w:hAnsi="Arial" w:cs="Arial"/>
                <w:sz w:val="18"/>
                <w:szCs w:val="18"/>
              </w:rPr>
              <w:t>Grupos electrógenos para electrobombas</w:t>
            </w:r>
          </w:p>
        </w:tc>
        <w:tc>
          <w:tcPr>
            <w:tcW w:w="1308" w:type="dxa"/>
            <w:tcBorders>
              <w:top w:val="single" w:sz="4" w:space="0" w:color="auto"/>
              <w:left w:val="nil"/>
              <w:bottom w:val="single" w:sz="4" w:space="0" w:color="auto"/>
              <w:right w:val="nil"/>
            </w:tcBorders>
            <w:noWrap/>
            <w:vAlign w:val="center"/>
            <w:hideMark/>
          </w:tcPr>
          <w:p w14:paraId="46FB502B" w14:textId="77777777" w:rsidR="00A20480" w:rsidRDefault="00A20480">
            <w:pPr>
              <w:autoSpaceDE/>
              <w:jc w:val="right"/>
              <w:rPr>
                <w:rFonts w:ascii="Arial" w:hAnsi="Arial" w:cs="Arial"/>
                <w:sz w:val="18"/>
                <w:szCs w:val="18"/>
              </w:rPr>
            </w:pPr>
            <w:r>
              <w:rPr>
                <w:rFonts w:ascii="Arial" w:hAnsi="Arial" w:cs="Arial"/>
                <w:sz w:val="18"/>
                <w:szCs w:val="18"/>
              </w:rPr>
              <w:t>3.600,00</w:t>
            </w:r>
          </w:p>
        </w:tc>
      </w:tr>
      <w:tr w:rsidR="00A20480" w14:paraId="25EAAB36"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44E0C150" w14:textId="77777777" w:rsidR="00A20480" w:rsidRDefault="00A20480">
            <w:pPr>
              <w:autoSpaceDE/>
              <w:ind w:firstLineChars="100" w:firstLine="180"/>
              <w:rPr>
                <w:rFonts w:ascii="Arial" w:hAnsi="Arial" w:cs="Arial"/>
                <w:sz w:val="18"/>
                <w:szCs w:val="18"/>
              </w:rPr>
            </w:pPr>
            <w:r>
              <w:rPr>
                <w:rFonts w:ascii="Arial" w:hAnsi="Arial" w:cs="Arial"/>
                <w:sz w:val="18"/>
                <w:szCs w:val="18"/>
              </w:rPr>
              <w:t xml:space="preserve">Reguladores </w:t>
            </w:r>
            <w:proofErr w:type="spellStart"/>
            <w:r>
              <w:rPr>
                <w:rFonts w:ascii="Arial" w:hAnsi="Arial" w:cs="Arial"/>
                <w:sz w:val="18"/>
                <w:szCs w:val="18"/>
              </w:rPr>
              <w:t>pulmoautomáticos</w:t>
            </w:r>
            <w:proofErr w:type="spellEnd"/>
          </w:p>
        </w:tc>
        <w:tc>
          <w:tcPr>
            <w:tcW w:w="1308" w:type="dxa"/>
            <w:tcBorders>
              <w:top w:val="single" w:sz="4" w:space="0" w:color="auto"/>
              <w:left w:val="nil"/>
              <w:bottom w:val="single" w:sz="4" w:space="0" w:color="auto"/>
              <w:right w:val="nil"/>
            </w:tcBorders>
            <w:noWrap/>
            <w:vAlign w:val="center"/>
            <w:hideMark/>
          </w:tcPr>
          <w:p w14:paraId="7D64FA7E" w14:textId="77777777" w:rsidR="00A20480" w:rsidRDefault="00A20480">
            <w:pPr>
              <w:autoSpaceDE/>
              <w:jc w:val="right"/>
              <w:rPr>
                <w:rFonts w:ascii="Arial" w:hAnsi="Arial" w:cs="Arial"/>
                <w:sz w:val="18"/>
                <w:szCs w:val="18"/>
              </w:rPr>
            </w:pPr>
            <w:r>
              <w:rPr>
                <w:rFonts w:ascii="Arial" w:hAnsi="Arial" w:cs="Arial"/>
                <w:sz w:val="18"/>
                <w:szCs w:val="18"/>
              </w:rPr>
              <w:t>1.610,00</w:t>
            </w:r>
          </w:p>
        </w:tc>
      </w:tr>
      <w:tr w:rsidR="00A20480" w14:paraId="5A183B8A"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36B6FEC6" w14:textId="77777777" w:rsidR="00A20480" w:rsidRDefault="00A20480">
            <w:pPr>
              <w:autoSpaceDE/>
              <w:ind w:firstLineChars="100" w:firstLine="180"/>
              <w:rPr>
                <w:rFonts w:ascii="Arial" w:hAnsi="Arial" w:cs="Arial"/>
                <w:sz w:val="18"/>
                <w:szCs w:val="18"/>
              </w:rPr>
            </w:pPr>
            <w:r>
              <w:rPr>
                <w:rFonts w:ascii="Arial" w:hAnsi="Arial" w:cs="Arial"/>
                <w:sz w:val="18"/>
                <w:szCs w:val="18"/>
              </w:rPr>
              <w:t xml:space="preserve">Mascara para </w:t>
            </w:r>
            <w:proofErr w:type="spellStart"/>
            <w:r>
              <w:rPr>
                <w:rFonts w:ascii="Arial" w:hAnsi="Arial" w:cs="Arial"/>
                <w:sz w:val="18"/>
                <w:szCs w:val="18"/>
              </w:rPr>
              <w:t>ERAs</w:t>
            </w:r>
            <w:proofErr w:type="spellEnd"/>
          </w:p>
        </w:tc>
        <w:tc>
          <w:tcPr>
            <w:tcW w:w="1308" w:type="dxa"/>
            <w:tcBorders>
              <w:top w:val="single" w:sz="4" w:space="0" w:color="auto"/>
              <w:left w:val="nil"/>
              <w:bottom w:val="single" w:sz="4" w:space="0" w:color="auto"/>
              <w:right w:val="nil"/>
            </w:tcBorders>
            <w:noWrap/>
            <w:vAlign w:val="center"/>
            <w:hideMark/>
          </w:tcPr>
          <w:p w14:paraId="2558C8B3" w14:textId="77777777" w:rsidR="00A20480" w:rsidRDefault="00A20480">
            <w:pPr>
              <w:autoSpaceDE/>
              <w:jc w:val="right"/>
              <w:rPr>
                <w:rFonts w:ascii="Arial" w:hAnsi="Arial" w:cs="Arial"/>
                <w:sz w:val="18"/>
                <w:szCs w:val="18"/>
              </w:rPr>
            </w:pPr>
            <w:r>
              <w:rPr>
                <w:rFonts w:ascii="Arial" w:hAnsi="Arial" w:cs="Arial"/>
                <w:sz w:val="18"/>
                <w:szCs w:val="18"/>
              </w:rPr>
              <w:t>1.680,00</w:t>
            </w:r>
          </w:p>
        </w:tc>
      </w:tr>
      <w:tr w:rsidR="00A20480" w14:paraId="1B2C6F7B"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6EB10608" w14:textId="77777777" w:rsidR="00A20480" w:rsidRDefault="00A20480">
            <w:pPr>
              <w:autoSpaceDE/>
              <w:ind w:firstLineChars="100" w:firstLine="180"/>
              <w:rPr>
                <w:rFonts w:ascii="Arial" w:hAnsi="Arial" w:cs="Arial"/>
                <w:sz w:val="18"/>
                <w:szCs w:val="18"/>
              </w:rPr>
            </w:pPr>
            <w:r>
              <w:rPr>
                <w:rFonts w:ascii="Arial" w:hAnsi="Arial" w:cs="Arial"/>
                <w:sz w:val="18"/>
                <w:szCs w:val="18"/>
              </w:rPr>
              <w:t xml:space="preserve">Puntales de estabilización </w:t>
            </w:r>
            <w:proofErr w:type="spellStart"/>
            <w:r>
              <w:rPr>
                <w:rFonts w:ascii="Arial" w:hAnsi="Arial" w:cs="Arial"/>
                <w:sz w:val="18"/>
                <w:szCs w:val="18"/>
              </w:rPr>
              <w:t>webber</w:t>
            </w:r>
            <w:proofErr w:type="spellEnd"/>
          </w:p>
        </w:tc>
        <w:tc>
          <w:tcPr>
            <w:tcW w:w="1308" w:type="dxa"/>
            <w:tcBorders>
              <w:top w:val="single" w:sz="4" w:space="0" w:color="auto"/>
              <w:left w:val="nil"/>
              <w:bottom w:val="single" w:sz="4" w:space="0" w:color="auto"/>
              <w:right w:val="nil"/>
            </w:tcBorders>
            <w:noWrap/>
            <w:vAlign w:val="center"/>
            <w:hideMark/>
          </w:tcPr>
          <w:p w14:paraId="18414623" w14:textId="77777777" w:rsidR="00A20480" w:rsidRDefault="00A20480">
            <w:pPr>
              <w:autoSpaceDE/>
              <w:jc w:val="right"/>
              <w:rPr>
                <w:rFonts w:ascii="Arial" w:hAnsi="Arial" w:cs="Arial"/>
                <w:sz w:val="18"/>
                <w:szCs w:val="18"/>
              </w:rPr>
            </w:pPr>
            <w:r>
              <w:rPr>
                <w:rFonts w:ascii="Arial" w:hAnsi="Arial" w:cs="Arial"/>
                <w:sz w:val="18"/>
                <w:szCs w:val="18"/>
              </w:rPr>
              <w:t>3.400,00</w:t>
            </w:r>
          </w:p>
        </w:tc>
      </w:tr>
      <w:tr w:rsidR="00A20480" w14:paraId="3E644DEC"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12BD6F18" w14:textId="77777777" w:rsidR="00A20480" w:rsidRDefault="00A20480">
            <w:pPr>
              <w:autoSpaceDE/>
              <w:ind w:firstLineChars="100" w:firstLine="180"/>
              <w:rPr>
                <w:rFonts w:ascii="Arial" w:hAnsi="Arial" w:cs="Arial"/>
                <w:sz w:val="18"/>
                <w:szCs w:val="18"/>
              </w:rPr>
            </w:pPr>
            <w:r>
              <w:rPr>
                <w:rFonts w:ascii="Arial" w:hAnsi="Arial" w:cs="Arial"/>
                <w:sz w:val="18"/>
                <w:szCs w:val="18"/>
              </w:rPr>
              <w:t>Moto disco</w:t>
            </w:r>
          </w:p>
        </w:tc>
        <w:tc>
          <w:tcPr>
            <w:tcW w:w="1308" w:type="dxa"/>
            <w:tcBorders>
              <w:top w:val="single" w:sz="4" w:space="0" w:color="auto"/>
              <w:left w:val="nil"/>
              <w:bottom w:val="single" w:sz="4" w:space="0" w:color="auto"/>
              <w:right w:val="nil"/>
            </w:tcBorders>
            <w:noWrap/>
            <w:vAlign w:val="center"/>
            <w:hideMark/>
          </w:tcPr>
          <w:p w14:paraId="085BA20C" w14:textId="77777777" w:rsidR="00A20480" w:rsidRDefault="00A20480">
            <w:pPr>
              <w:autoSpaceDE/>
              <w:jc w:val="right"/>
              <w:rPr>
                <w:rFonts w:ascii="Arial" w:hAnsi="Arial" w:cs="Arial"/>
                <w:sz w:val="18"/>
                <w:szCs w:val="18"/>
              </w:rPr>
            </w:pPr>
            <w:r>
              <w:rPr>
                <w:rFonts w:ascii="Arial" w:hAnsi="Arial" w:cs="Arial"/>
                <w:sz w:val="18"/>
                <w:szCs w:val="18"/>
              </w:rPr>
              <w:t>300,00</w:t>
            </w:r>
          </w:p>
        </w:tc>
      </w:tr>
      <w:tr w:rsidR="00A20480" w14:paraId="7B4E5C89"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290E2CFB" w14:textId="77777777" w:rsidR="00A20480" w:rsidRDefault="00A20480">
            <w:pPr>
              <w:autoSpaceDE/>
              <w:ind w:firstLineChars="100" w:firstLine="180"/>
              <w:rPr>
                <w:rFonts w:ascii="Arial" w:hAnsi="Arial" w:cs="Arial"/>
                <w:sz w:val="18"/>
                <w:szCs w:val="18"/>
              </w:rPr>
            </w:pPr>
            <w:r>
              <w:rPr>
                <w:rFonts w:ascii="Arial" w:hAnsi="Arial" w:cs="Arial"/>
                <w:sz w:val="18"/>
                <w:szCs w:val="18"/>
              </w:rPr>
              <w:t>Caja de equipo BG4</w:t>
            </w:r>
          </w:p>
        </w:tc>
        <w:tc>
          <w:tcPr>
            <w:tcW w:w="1308" w:type="dxa"/>
            <w:tcBorders>
              <w:top w:val="single" w:sz="4" w:space="0" w:color="auto"/>
              <w:left w:val="nil"/>
              <w:bottom w:val="single" w:sz="4" w:space="0" w:color="auto"/>
              <w:right w:val="nil"/>
            </w:tcBorders>
            <w:noWrap/>
            <w:vAlign w:val="center"/>
            <w:hideMark/>
          </w:tcPr>
          <w:p w14:paraId="1FE04F49" w14:textId="77777777" w:rsidR="00A20480" w:rsidRDefault="00A20480">
            <w:pPr>
              <w:autoSpaceDE/>
              <w:jc w:val="right"/>
              <w:rPr>
                <w:rFonts w:ascii="Arial" w:hAnsi="Arial" w:cs="Arial"/>
                <w:sz w:val="18"/>
                <w:szCs w:val="18"/>
              </w:rPr>
            </w:pPr>
            <w:r>
              <w:rPr>
                <w:rFonts w:ascii="Arial" w:hAnsi="Arial" w:cs="Arial"/>
                <w:sz w:val="18"/>
                <w:szCs w:val="18"/>
              </w:rPr>
              <w:t>1.000,00</w:t>
            </w:r>
          </w:p>
        </w:tc>
      </w:tr>
      <w:tr w:rsidR="00A20480" w14:paraId="0EE85597"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840FCBE" w14:textId="77777777" w:rsidR="00A20480" w:rsidRDefault="00A20480">
            <w:pPr>
              <w:autoSpaceDE/>
              <w:ind w:firstLineChars="100" w:firstLine="180"/>
              <w:rPr>
                <w:rFonts w:ascii="Arial" w:hAnsi="Arial" w:cs="Arial"/>
                <w:sz w:val="18"/>
                <w:szCs w:val="18"/>
              </w:rPr>
            </w:pPr>
            <w:r>
              <w:rPr>
                <w:rFonts w:ascii="Arial" w:hAnsi="Arial" w:cs="Arial"/>
                <w:sz w:val="18"/>
                <w:szCs w:val="18"/>
              </w:rPr>
              <w:t>Muñeco para maniobras</w:t>
            </w:r>
          </w:p>
        </w:tc>
        <w:tc>
          <w:tcPr>
            <w:tcW w:w="1308" w:type="dxa"/>
            <w:tcBorders>
              <w:top w:val="single" w:sz="4" w:space="0" w:color="auto"/>
              <w:left w:val="nil"/>
              <w:bottom w:val="single" w:sz="4" w:space="0" w:color="auto"/>
              <w:right w:val="nil"/>
            </w:tcBorders>
            <w:noWrap/>
            <w:vAlign w:val="center"/>
            <w:hideMark/>
          </w:tcPr>
          <w:p w14:paraId="402CBA00" w14:textId="77777777" w:rsidR="00A20480" w:rsidRDefault="00A20480">
            <w:pPr>
              <w:autoSpaceDE/>
              <w:jc w:val="right"/>
              <w:rPr>
                <w:rFonts w:ascii="Arial" w:hAnsi="Arial" w:cs="Arial"/>
                <w:sz w:val="18"/>
                <w:szCs w:val="18"/>
              </w:rPr>
            </w:pPr>
            <w:r>
              <w:rPr>
                <w:rFonts w:ascii="Arial" w:hAnsi="Arial" w:cs="Arial"/>
                <w:sz w:val="18"/>
                <w:szCs w:val="18"/>
              </w:rPr>
              <w:t>1.800,00</w:t>
            </w:r>
          </w:p>
        </w:tc>
      </w:tr>
      <w:tr w:rsidR="00A20480" w14:paraId="57A34294"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2282F31" w14:textId="77777777" w:rsidR="00A20480" w:rsidRDefault="00A20480">
            <w:pPr>
              <w:autoSpaceDE/>
              <w:ind w:firstLineChars="100" w:firstLine="180"/>
              <w:rPr>
                <w:rFonts w:ascii="Arial" w:hAnsi="Arial" w:cs="Arial"/>
                <w:sz w:val="18"/>
                <w:szCs w:val="18"/>
              </w:rPr>
            </w:pPr>
            <w:r>
              <w:rPr>
                <w:rFonts w:ascii="Arial" w:hAnsi="Arial" w:cs="Arial"/>
                <w:sz w:val="18"/>
                <w:szCs w:val="18"/>
              </w:rPr>
              <w:t>Material sanitario: collarines, arañas, férulas, dama de Elche</w:t>
            </w:r>
          </w:p>
        </w:tc>
        <w:tc>
          <w:tcPr>
            <w:tcW w:w="1308" w:type="dxa"/>
            <w:tcBorders>
              <w:top w:val="single" w:sz="4" w:space="0" w:color="auto"/>
              <w:left w:val="nil"/>
              <w:bottom w:val="single" w:sz="4" w:space="0" w:color="auto"/>
              <w:right w:val="nil"/>
            </w:tcBorders>
            <w:noWrap/>
            <w:vAlign w:val="center"/>
            <w:hideMark/>
          </w:tcPr>
          <w:p w14:paraId="5AA71A27" w14:textId="77777777" w:rsidR="00A20480" w:rsidRDefault="00A20480">
            <w:pPr>
              <w:autoSpaceDE/>
              <w:jc w:val="right"/>
              <w:rPr>
                <w:rFonts w:ascii="Arial" w:hAnsi="Arial" w:cs="Arial"/>
                <w:sz w:val="18"/>
                <w:szCs w:val="18"/>
              </w:rPr>
            </w:pPr>
            <w:r>
              <w:rPr>
                <w:rFonts w:ascii="Arial" w:hAnsi="Arial" w:cs="Arial"/>
                <w:sz w:val="18"/>
                <w:szCs w:val="18"/>
              </w:rPr>
              <w:t>850,00</w:t>
            </w:r>
          </w:p>
        </w:tc>
      </w:tr>
      <w:tr w:rsidR="00A20480" w14:paraId="46354ECD"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2D3E14A3" w14:textId="77777777" w:rsidR="00A20480" w:rsidRDefault="00A20480">
            <w:pPr>
              <w:autoSpaceDE/>
              <w:ind w:firstLineChars="100" w:firstLine="180"/>
              <w:rPr>
                <w:rFonts w:ascii="Arial" w:hAnsi="Arial" w:cs="Arial"/>
                <w:sz w:val="18"/>
                <w:szCs w:val="18"/>
              </w:rPr>
            </w:pPr>
            <w:r>
              <w:rPr>
                <w:rFonts w:ascii="Arial" w:hAnsi="Arial" w:cs="Arial"/>
                <w:sz w:val="18"/>
                <w:szCs w:val="18"/>
              </w:rPr>
              <w:t>Desfibriladores</w:t>
            </w:r>
          </w:p>
        </w:tc>
        <w:tc>
          <w:tcPr>
            <w:tcW w:w="1308" w:type="dxa"/>
            <w:tcBorders>
              <w:top w:val="single" w:sz="4" w:space="0" w:color="auto"/>
              <w:left w:val="nil"/>
              <w:bottom w:val="single" w:sz="4" w:space="0" w:color="auto"/>
              <w:right w:val="nil"/>
            </w:tcBorders>
            <w:noWrap/>
            <w:vAlign w:val="center"/>
            <w:hideMark/>
          </w:tcPr>
          <w:p w14:paraId="41AA8822" w14:textId="77777777" w:rsidR="00A20480" w:rsidRDefault="00A20480">
            <w:pPr>
              <w:autoSpaceDE/>
              <w:jc w:val="right"/>
              <w:rPr>
                <w:rFonts w:ascii="Arial" w:hAnsi="Arial" w:cs="Arial"/>
                <w:sz w:val="18"/>
                <w:szCs w:val="18"/>
              </w:rPr>
            </w:pPr>
            <w:r>
              <w:rPr>
                <w:rFonts w:ascii="Arial" w:hAnsi="Arial" w:cs="Arial"/>
                <w:sz w:val="18"/>
                <w:szCs w:val="18"/>
              </w:rPr>
              <w:t>1.300,00</w:t>
            </w:r>
          </w:p>
        </w:tc>
      </w:tr>
      <w:tr w:rsidR="00A20480" w14:paraId="10C1A7BD"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61CEF22" w14:textId="77777777" w:rsidR="00A20480" w:rsidRDefault="00A20480">
            <w:pPr>
              <w:autoSpaceDE/>
              <w:ind w:left="72" w:firstLineChars="60" w:firstLine="108"/>
              <w:rPr>
                <w:rFonts w:ascii="Arial" w:hAnsi="Arial" w:cs="Arial"/>
                <w:sz w:val="18"/>
                <w:szCs w:val="18"/>
              </w:rPr>
            </w:pPr>
            <w:r>
              <w:rPr>
                <w:rFonts w:ascii="Arial" w:hAnsi="Arial" w:cs="Arial"/>
                <w:sz w:val="18"/>
                <w:szCs w:val="18"/>
              </w:rPr>
              <w:t xml:space="preserve">Material de agua (mangueras, reducciones, divisiones tres bocas, </w:t>
            </w:r>
            <w:proofErr w:type="gramStart"/>
            <w:r>
              <w:rPr>
                <w:rFonts w:ascii="Arial" w:hAnsi="Arial" w:cs="Arial"/>
                <w:sz w:val="18"/>
                <w:szCs w:val="18"/>
              </w:rPr>
              <w:t xml:space="preserve">bifurcaciones,   </w:t>
            </w:r>
            <w:proofErr w:type="gramEnd"/>
            <w:r>
              <w:rPr>
                <w:rFonts w:ascii="Arial" w:hAnsi="Arial" w:cs="Arial"/>
                <w:sz w:val="18"/>
                <w:szCs w:val="18"/>
              </w:rPr>
              <w:t xml:space="preserve">       </w:t>
            </w:r>
            <w:r>
              <w:rPr>
                <w:rFonts w:ascii="Arial" w:hAnsi="Arial" w:cs="Arial"/>
                <w:sz w:val="18"/>
                <w:szCs w:val="18"/>
              </w:rPr>
              <w:lastRenderedPageBreak/>
              <w:t>lanzas, pantalla para retención gases, etc.)</w:t>
            </w:r>
          </w:p>
        </w:tc>
        <w:tc>
          <w:tcPr>
            <w:tcW w:w="1308" w:type="dxa"/>
            <w:tcBorders>
              <w:top w:val="single" w:sz="4" w:space="0" w:color="auto"/>
              <w:left w:val="nil"/>
              <w:bottom w:val="single" w:sz="4" w:space="0" w:color="auto"/>
              <w:right w:val="nil"/>
            </w:tcBorders>
            <w:noWrap/>
            <w:vAlign w:val="center"/>
            <w:hideMark/>
          </w:tcPr>
          <w:p w14:paraId="1F0EAAF8" w14:textId="77777777" w:rsidR="00A20480" w:rsidRDefault="00A20480">
            <w:pPr>
              <w:autoSpaceDE/>
              <w:jc w:val="right"/>
              <w:rPr>
                <w:rFonts w:ascii="Arial" w:hAnsi="Arial" w:cs="Arial"/>
                <w:sz w:val="18"/>
                <w:szCs w:val="18"/>
              </w:rPr>
            </w:pPr>
            <w:r>
              <w:rPr>
                <w:rFonts w:ascii="Arial" w:hAnsi="Arial" w:cs="Arial"/>
                <w:sz w:val="18"/>
                <w:szCs w:val="18"/>
              </w:rPr>
              <w:lastRenderedPageBreak/>
              <w:t>4.500,00</w:t>
            </w:r>
          </w:p>
        </w:tc>
      </w:tr>
      <w:tr w:rsidR="00A20480" w14:paraId="33738FB4"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04CC79D" w14:textId="77777777" w:rsidR="00A20480" w:rsidRDefault="00A20480">
            <w:pPr>
              <w:autoSpaceDE/>
              <w:ind w:firstLineChars="100" w:firstLine="180"/>
              <w:rPr>
                <w:rFonts w:ascii="Arial" w:hAnsi="Arial" w:cs="Arial"/>
                <w:sz w:val="18"/>
                <w:szCs w:val="18"/>
              </w:rPr>
            </w:pPr>
            <w:r>
              <w:rPr>
                <w:rFonts w:ascii="Arial" w:hAnsi="Arial" w:cs="Arial"/>
                <w:sz w:val="18"/>
                <w:szCs w:val="18"/>
              </w:rPr>
              <w:t>Abre puertas hidráulico Weber</w:t>
            </w:r>
          </w:p>
        </w:tc>
        <w:tc>
          <w:tcPr>
            <w:tcW w:w="1308" w:type="dxa"/>
            <w:tcBorders>
              <w:top w:val="single" w:sz="4" w:space="0" w:color="auto"/>
              <w:left w:val="nil"/>
              <w:bottom w:val="single" w:sz="4" w:space="0" w:color="auto"/>
              <w:right w:val="nil"/>
            </w:tcBorders>
            <w:noWrap/>
            <w:vAlign w:val="center"/>
            <w:hideMark/>
          </w:tcPr>
          <w:p w14:paraId="4C92B697" w14:textId="77777777" w:rsidR="00A20480" w:rsidRDefault="00A20480">
            <w:pPr>
              <w:autoSpaceDE/>
              <w:jc w:val="right"/>
              <w:rPr>
                <w:rFonts w:ascii="Arial" w:hAnsi="Arial" w:cs="Arial"/>
                <w:sz w:val="18"/>
                <w:szCs w:val="18"/>
              </w:rPr>
            </w:pPr>
            <w:r>
              <w:rPr>
                <w:rFonts w:ascii="Arial" w:hAnsi="Arial" w:cs="Arial"/>
                <w:sz w:val="18"/>
                <w:szCs w:val="18"/>
              </w:rPr>
              <w:t>1.400,00</w:t>
            </w:r>
          </w:p>
        </w:tc>
      </w:tr>
      <w:tr w:rsidR="00A20480" w14:paraId="4DAAAED2"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35CC5DA" w14:textId="77777777" w:rsidR="00A20480" w:rsidRDefault="00A20480">
            <w:pPr>
              <w:autoSpaceDE/>
              <w:ind w:firstLineChars="100" w:firstLine="180"/>
              <w:rPr>
                <w:rFonts w:ascii="Arial" w:hAnsi="Arial" w:cs="Arial"/>
                <w:sz w:val="18"/>
                <w:szCs w:val="18"/>
              </w:rPr>
            </w:pPr>
            <w:r>
              <w:rPr>
                <w:rFonts w:ascii="Arial" w:hAnsi="Arial" w:cs="Arial"/>
                <w:sz w:val="18"/>
                <w:szCs w:val="18"/>
              </w:rPr>
              <w:t>Juego de gradas para calzar vehículos</w:t>
            </w:r>
          </w:p>
        </w:tc>
        <w:tc>
          <w:tcPr>
            <w:tcW w:w="1308" w:type="dxa"/>
            <w:tcBorders>
              <w:top w:val="single" w:sz="4" w:space="0" w:color="auto"/>
              <w:left w:val="nil"/>
              <w:bottom w:val="single" w:sz="4" w:space="0" w:color="auto"/>
              <w:right w:val="nil"/>
            </w:tcBorders>
            <w:noWrap/>
            <w:vAlign w:val="center"/>
            <w:hideMark/>
          </w:tcPr>
          <w:p w14:paraId="491F37C0" w14:textId="77777777" w:rsidR="00A20480" w:rsidRDefault="00A20480">
            <w:pPr>
              <w:autoSpaceDE/>
              <w:jc w:val="right"/>
              <w:rPr>
                <w:rFonts w:ascii="Arial" w:hAnsi="Arial" w:cs="Arial"/>
                <w:sz w:val="18"/>
                <w:szCs w:val="18"/>
              </w:rPr>
            </w:pPr>
            <w:r>
              <w:rPr>
                <w:rFonts w:ascii="Arial" w:hAnsi="Arial" w:cs="Arial"/>
                <w:sz w:val="18"/>
                <w:szCs w:val="18"/>
              </w:rPr>
              <w:t>300,00</w:t>
            </w:r>
          </w:p>
        </w:tc>
      </w:tr>
      <w:tr w:rsidR="00A20480" w14:paraId="1C39CF4C"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2801819C" w14:textId="77777777" w:rsidR="00A20480" w:rsidRDefault="00A20480">
            <w:pPr>
              <w:autoSpaceDE/>
              <w:ind w:firstLineChars="100" w:firstLine="180"/>
              <w:rPr>
                <w:rFonts w:ascii="Arial" w:hAnsi="Arial" w:cs="Arial"/>
                <w:sz w:val="18"/>
                <w:szCs w:val="18"/>
              </w:rPr>
            </w:pPr>
            <w:r>
              <w:rPr>
                <w:rFonts w:ascii="Arial" w:hAnsi="Arial" w:cs="Arial"/>
                <w:sz w:val="18"/>
                <w:szCs w:val="18"/>
              </w:rPr>
              <w:t>Juego de RAM (3 un. de diferentes diámetros)</w:t>
            </w:r>
          </w:p>
        </w:tc>
        <w:tc>
          <w:tcPr>
            <w:tcW w:w="1308" w:type="dxa"/>
            <w:tcBorders>
              <w:top w:val="single" w:sz="4" w:space="0" w:color="auto"/>
              <w:left w:val="nil"/>
              <w:bottom w:val="single" w:sz="4" w:space="0" w:color="auto"/>
              <w:right w:val="nil"/>
            </w:tcBorders>
            <w:noWrap/>
            <w:vAlign w:val="center"/>
            <w:hideMark/>
          </w:tcPr>
          <w:p w14:paraId="5CD616E9" w14:textId="77777777" w:rsidR="00A20480" w:rsidRDefault="00A20480">
            <w:pPr>
              <w:autoSpaceDE/>
              <w:jc w:val="right"/>
              <w:rPr>
                <w:rFonts w:ascii="Arial" w:hAnsi="Arial" w:cs="Arial"/>
                <w:sz w:val="18"/>
                <w:szCs w:val="18"/>
              </w:rPr>
            </w:pPr>
            <w:r>
              <w:rPr>
                <w:rFonts w:ascii="Arial" w:hAnsi="Arial" w:cs="Arial"/>
                <w:sz w:val="18"/>
                <w:szCs w:val="18"/>
              </w:rPr>
              <w:t>1.500,00</w:t>
            </w:r>
          </w:p>
        </w:tc>
      </w:tr>
      <w:tr w:rsidR="00A20480" w14:paraId="536C7AB2"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70D26A9A" w14:textId="77777777" w:rsidR="00A20480" w:rsidRDefault="00A20480">
            <w:pPr>
              <w:autoSpaceDE/>
              <w:ind w:firstLineChars="100" w:firstLine="180"/>
              <w:rPr>
                <w:rFonts w:ascii="Arial" w:hAnsi="Arial" w:cs="Arial"/>
                <w:sz w:val="18"/>
                <w:szCs w:val="18"/>
              </w:rPr>
            </w:pPr>
            <w:r>
              <w:rPr>
                <w:rFonts w:ascii="Arial" w:hAnsi="Arial" w:cs="Arial"/>
                <w:sz w:val="18"/>
                <w:szCs w:val="18"/>
              </w:rPr>
              <w:t xml:space="preserve">Juego de </w:t>
            </w:r>
            <w:proofErr w:type="spellStart"/>
            <w:r>
              <w:rPr>
                <w:rFonts w:ascii="Arial" w:hAnsi="Arial" w:cs="Arial"/>
                <w:sz w:val="18"/>
                <w:szCs w:val="18"/>
              </w:rPr>
              <w:t>Fernoquet</w:t>
            </w:r>
            <w:proofErr w:type="spellEnd"/>
            <w:r>
              <w:rPr>
                <w:rFonts w:ascii="Arial" w:hAnsi="Arial" w:cs="Arial"/>
                <w:sz w:val="18"/>
                <w:szCs w:val="18"/>
              </w:rPr>
              <w:t xml:space="preserve"> completo</w:t>
            </w:r>
          </w:p>
        </w:tc>
        <w:tc>
          <w:tcPr>
            <w:tcW w:w="1308" w:type="dxa"/>
            <w:tcBorders>
              <w:top w:val="single" w:sz="4" w:space="0" w:color="auto"/>
              <w:left w:val="nil"/>
              <w:bottom w:val="single" w:sz="4" w:space="0" w:color="auto"/>
              <w:right w:val="nil"/>
            </w:tcBorders>
            <w:noWrap/>
            <w:vAlign w:val="center"/>
            <w:hideMark/>
          </w:tcPr>
          <w:p w14:paraId="53508789" w14:textId="77777777" w:rsidR="00A20480" w:rsidRDefault="00A20480">
            <w:pPr>
              <w:autoSpaceDE/>
              <w:jc w:val="right"/>
              <w:rPr>
                <w:rFonts w:ascii="Arial" w:hAnsi="Arial" w:cs="Arial"/>
                <w:sz w:val="18"/>
                <w:szCs w:val="18"/>
              </w:rPr>
            </w:pPr>
            <w:r>
              <w:rPr>
                <w:rFonts w:ascii="Arial" w:hAnsi="Arial" w:cs="Arial"/>
                <w:sz w:val="18"/>
                <w:szCs w:val="18"/>
              </w:rPr>
              <w:t>300,00</w:t>
            </w:r>
          </w:p>
        </w:tc>
      </w:tr>
      <w:tr w:rsidR="00A20480" w14:paraId="6CC420C4"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3ABD609" w14:textId="77777777" w:rsidR="00A20480" w:rsidRDefault="00A20480">
            <w:pPr>
              <w:autoSpaceDE/>
              <w:ind w:firstLineChars="100" w:firstLine="180"/>
              <w:rPr>
                <w:rFonts w:ascii="Arial" w:hAnsi="Arial" w:cs="Arial"/>
                <w:sz w:val="18"/>
                <w:szCs w:val="18"/>
              </w:rPr>
            </w:pPr>
            <w:r>
              <w:rPr>
                <w:rFonts w:ascii="Arial" w:hAnsi="Arial" w:cs="Arial"/>
                <w:sz w:val="18"/>
                <w:szCs w:val="18"/>
              </w:rPr>
              <w:t>Consola para cojines neumáticos baja</w:t>
            </w:r>
          </w:p>
        </w:tc>
        <w:tc>
          <w:tcPr>
            <w:tcW w:w="1308" w:type="dxa"/>
            <w:tcBorders>
              <w:top w:val="single" w:sz="4" w:space="0" w:color="auto"/>
              <w:left w:val="nil"/>
              <w:bottom w:val="single" w:sz="4" w:space="0" w:color="auto"/>
              <w:right w:val="nil"/>
            </w:tcBorders>
            <w:noWrap/>
            <w:vAlign w:val="center"/>
            <w:hideMark/>
          </w:tcPr>
          <w:p w14:paraId="723EC2CD" w14:textId="77777777" w:rsidR="00A20480" w:rsidRDefault="00A20480">
            <w:pPr>
              <w:autoSpaceDE/>
              <w:jc w:val="right"/>
              <w:rPr>
                <w:rFonts w:ascii="Arial" w:hAnsi="Arial" w:cs="Arial"/>
                <w:sz w:val="18"/>
                <w:szCs w:val="18"/>
              </w:rPr>
            </w:pPr>
            <w:r>
              <w:rPr>
                <w:rFonts w:ascii="Arial" w:hAnsi="Arial" w:cs="Arial"/>
                <w:sz w:val="18"/>
                <w:szCs w:val="18"/>
              </w:rPr>
              <w:t>350,00</w:t>
            </w:r>
          </w:p>
        </w:tc>
      </w:tr>
      <w:tr w:rsidR="00A20480" w14:paraId="09F46064"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3B29E76E" w14:textId="77777777" w:rsidR="00A20480" w:rsidRDefault="00A20480">
            <w:pPr>
              <w:autoSpaceDE/>
              <w:ind w:firstLineChars="100" w:firstLine="180"/>
              <w:rPr>
                <w:rFonts w:ascii="Arial" w:hAnsi="Arial" w:cs="Arial"/>
                <w:sz w:val="18"/>
                <w:szCs w:val="18"/>
              </w:rPr>
            </w:pPr>
            <w:r>
              <w:rPr>
                <w:rFonts w:ascii="Arial" w:hAnsi="Arial" w:cs="Arial"/>
                <w:sz w:val="18"/>
                <w:szCs w:val="18"/>
              </w:rPr>
              <w:t>Consola para cojines neumáticos alta</w:t>
            </w:r>
          </w:p>
        </w:tc>
        <w:tc>
          <w:tcPr>
            <w:tcW w:w="1308" w:type="dxa"/>
            <w:tcBorders>
              <w:top w:val="single" w:sz="4" w:space="0" w:color="auto"/>
              <w:left w:val="nil"/>
              <w:bottom w:val="single" w:sz="4" w:space="0" w:color="auto"/>
              <w:right w:val="nil"/>
            </w:tcBorders>
            <w:noWrap/>
            <w:vAlign w:val="center"/>
            <w:hideMark/>
          </w:tcPr>
          <w:p w14:paraId="51A033E9" w14:textId="77777777" w:rsidR="00A20480" w:rsidRDefault="00A20480">
            <w:pPr>
              <w:autoSpaceDE/>
              <w:jc w:val="right"/>
              <w:rPr>
                <w:rFonts w:ascii="Arial" w:hAnsi="Arial" w:cs="Arial"/>
                <w:sz w:val="18"/>
                <w:szCs w:val="18"/>
              </w:rPr>
            </w:pPr>
            <w:r>
              <w:rPr>
                <w:rFonts w:ascii="Arial" w:hAnsi="Arial" w:cs="Arial"/>
                <w:sz w:val="18"/>
                <w:szCs w:val="18"/>
              </w:rPr>
              <w:t>2.800,00</w:t>
            </w:r>
          </w:p>
        </w:tc>
      </w:tr>
      <w:tr w:rsidR="00A20480" w14:paraId="024AFD99" w14:textId="77777777" w:rsidTr="00A20480">
        <w:trPr>
          <w:trHeight w:val="315"/>
        </w:trPr>
        <w:tc>
          <w:tcPr>
            <w:tcW w:w="7230" w:type="dxa"/>
            <w:tcBorders>
              <w:top w:val="single" w:sz="4" w:space="0" w:color="auto"/>
              <w:left w:val="nil"/>
              <w:bottom w:val="single" w:sz="8" w:space="0" w:color="auto"/>
              <w:right w:val="nil"/>
            </w:tcBorders>
            <w:noWrap/>
            <w:vAlign w:val="center"/>
            <w:hideMark/>
          </w:tcPr>
          <w:p w14:paraId="7F22A1A2" w14:textId="77777777" w:rsidR="00A20480" w:rsidRDefault="00A20480">
            <w:pPr>
              <w:autoSpaceDE/>
              <w:ind w:firstLineChars="100" w:firstLine="180"/>
              <w:rPr>
                <w:rFonts w:ascii="Arial" w:hAnsi="Arial" w:cs="Arial"/>
                <w:sz w:val="18"/>
                <w:szCs w:val="18"/>
              </w:rPr>
            </w:pPr>
            <w:r>
              <w:rPr>
                <w:rFonts w:ascii="Arial" w:hAnsi="Arial" w:cs="Arial"/>
                <w:sz w:val="18"/>
                <w:szCs w:val="18"/>
              </w:rPr>
              <w:t>Férulas</w:t>
            </w:r>
          </w:p>
        </w:tc>
        <w:tc>
          <w:tcPr>
            <w:tcW w:w="1308" w:type="dxa"/>
            <w:tcBorders>
              <w:top w:val="single" w:sz="4" w:space="0" w:color="auto"/>
              <w:left w:val="nil"/>
              <w:bottom w:val="single" w:sz="8" w:space="0" w:color="auto"/>
              <w:right w:val="nil"/>
            </w:tcBorders>
            <w:noWrap/>
            <w:vAlign w:val="center"/>
            <w:hideMark/>
          </w:tcPr>
          <w:p w14:paraId="6E9FC4BA" w14:textId="77777777" w:rsidR="00A20480" w:rsidRDefault="00A20480">
            <w:pPr>
              <w:autoSpaceDE/>
              <w:jc w:val="right"/>
              <w:rPr>
                <w:rFonts w:ascii="Arial" w:hAnsi="Arial" w:cs="Arial"/>
                <w:sz w:val="18"/>
                <w:szCs w:val="18"/>
              </w:rPr>
            </w:pPr>
            <w:r>
              <w:rPr>
                <w:rFonts w:ascii="Arial" w:hAnsi="Arial" w:cs="Arial"/>
                <w:sz w:val="18"/>
                <w:szCs w:val="18"/>
              </w:rPr>
              <w:t>200,00</w:t>
            </w:r>
          </w:p>
        </w:tc>
      </w:tr>
      <w:tr w:rsidR="00A20480" w14:paraId="3B531358"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11EF8AF6" w14:textId="77777777" w:rsidR="00A20480" w:rsidRDefault="00A20480">
            <w:pPr>
              <w:autoSpaceDE/>
              <w:jc w:val="center"/>
              <w:rPr>
                <w:rFonts w:ascii="Arial" w:hAnsi="Arial" w:cs="Arial"/>
                <w:b/>
                <w:bCs/>
              </w:rPr>
            </w:pPr>
            <w:r>
              <w:rPr>
                <w:rFonts w:ascii="Arial" w:hAnsi="Arial" w:cs="Arial"/>
                <w:b/>
                <w:bCs/>
              </w:rPr>
              <w:t>REPOSICION EDIFICIOS Y O. CONSTRUCCIONES</w:t>
            </w:r>
          </w:p>
        </w:tc>
        <w:tc>
          <w:tcPr>
            <w:tcW w:w="1308"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2DB2B193" w14:textId="77777777" w:rsidR="00A20480" w:rsidRDefault="00A20480">
            <w:pPr>
              <w:autoSpaceDE/>
              <w:jc w:val="right"/>
              <w:rPr>
                <w:rFonts w:ascii="Arial" w:hAnsi="Arial" w:cs="Arial"/>
                <w:b/>
                <w:bCs/>
              </w:rPr>
            </w:pPr>
            <w:r>
              <w:rPr>
                <w:rFonts w:ascii="Arial" w:hAnsi="Arial" w:cs="Arial"/>
                <w:b/>
                <w:bCs/>
              </w:rPr>
              <w:t>658.945,80</w:t>
            </w:r>
          </w:p>
        </w:tc>
      </w:tr>
      <w:tr w:rsidR="00A20480" w14:paraId="60031A2B" w14:textId="77777777" w:rsidTr="00A20480">
        <w:trPr>
          <w:trHeight w:val="315"/>
        </w:trPr>
        <w:tc>
          <w:tcPr>
            <w:tcW w:w="7230" w:type="dxa"/>
            <w:tcBorders>
              <w:top w:val="single" w:sz="8" w:space="0" w:color="auto"/>
              <w:left w:val="nil"/>
              <w:bottom w:val="single" w:sz="2" w:space="0" w:color="auto"/>
              <w:right w:val="nil"/>
            </w:tcBorders>
            <w:noWrap/>
            <w:vAlign w:val="center"/>
            <w:hideMark/>
          </w:tcPr>
          <w:p w14:paraId="7D19E09F" w14:textId="77777777" w:rsidR="00A20480" w:rsidRDefault="00A20480">
            <w:pPr>
              <w:autoSpaceDE/>
              <w:ind w:firstLineChars="100" w:firstLine="180"/>
              <w:rPr>
                <w:rFonts w:ascii="Arial" w:hAnsi="Arial" w:cs="Arial"/>
                <w:sz w:val="18"/>
                <w:szCs w:val="18"/>
              </w:rPr>
            </w:pPr>
            <w:r>
              <w:rPr>
                <w:rFonts w:ascii="Arial" w:hAnsi="Arial" w:cs="Arial"/>
                <w:sz w:val="18"/>
                <w:szCs w:val="18"/>
              </w:rPr>
              <w:t>Reformas de forjados, gimnasio y almacén</w:t>
            </w:r>
          </w:p>
        </w:tc>
        <w:tc>
          <w:tcPr>
            <w:tcW w:w="1308" w:type="dxa"/>
            <w:tcBorders>
              <w:top w:val="single" w:sz="8" w:space="0" w:color="auto"/>
              <w:left w:val="nil"/>
              <w:bottom w:val="single" w:sz="2" w:space="0" w:color="auto"/>
              <w:right w:val="nil"/>
            </w:tcBorders>
            <w:noWrap/>
            <w:vAlign w:val="center"/>
            <w:hideMark/>
          </w:tcPr>
          <w:p w14:paraId="64CB22CE" w14:textId="77777777" w:rsidR="00A20480" w:rsidRDefault="00A20480">
            <w:pPr>
              <w:autoSpaceDE/>
              <w:jc w:val="right"/>
              <w:rPr>
                <w:rFonts w:ascii="Arial" w:hAnsi="Arial" w:cs="Arial"/>
                <w:sz w:val="18"/>
                <w:szCs w:val="18"/>
              </w:rPr>
            </w:pPr>
            <w:r>
              <w:rPr>
                <w:rFonts w:ascii="Arial" w:hAnsi="Arial" w:cs="Arial"/>
                <w:sz w:val="18"/>
                <w:szCs w:val="18"/>
              </w:rPr>
              <w:t>100.000,00</w:t>
            </w:r>
          </w:p>
        </w:tc>
      </w:tr>
      <w:tr w:rsidR="00A20480" w14:paraId="673A1554" w14:textId="77777777" w:rsidTr="00A20480">
        <w:trPr>
          <w:trHeight w:val="315"/>
        </w:trPr>
        <w:tc>
          <w:tcPr>
            <w:tcW w:w="7230" w:type="dxa"/>
            <w:tcBorders>
              <w:top w:val="single" w:sz="2" w:space="0" w:color="auto"/>
              <w:left w:val="nil"/>
              <w:bottom w:val="single" w:sz="4" w:space="0" w:color="auto"/>
              <w:right w:val="nil"/>
            </w:tcBorders>
            <w:noWrap/>
            <w:vAlign w:val="center"/>
            <w:hideMark/>
          </w:tcPr>
          <w:p w14:paraId="720FBB96" w14:textId="77777777" w:rsidR="00A20480" w:rsidRDefault="00A20480">
            <w:pPr>
              <w:autoSpaceDE/>
              <w:ind w:firstLineChars="100" w:firstLine="180"/>
              <w:rPr>
                <w:rFonts w:ascii="Arial" w:hAnsi="Arial" w:cs="Arial"/>
                <w:sz w:val="18"/>
                <w:szCs w:val="18"/>
              </w:rPr>
            </w:pPr>
            <w:r>
              <w:rPr>
                <w:rFonts w:ascii="Arial" w:hAnsi="Arial" w:cs="Arial"/>
                <w:sz w:val="18"/>
                <w:szCs w:val="18"/>
              </w:rPr>
              <w:t>Dirección de obra proyecto seguridad y salud PB Santa Cruz</w:t>
            </w:r>
          </w:p>
        </w:tc>
        <w:tc>
          <w:tcPr>
            <w:tcW w:w="1308" w:type="dxa"/>
            <w:tcBorders>
              <w:top w:val="single" w:sz="2" w:space="0" w:color="auto"/>
              <w:left w:val="nil"/>
              <w:bottom w:val="single" w:sz="4" w:space="0" w:color="auto"/>
              <w:right w:val="nil"/>
            </w:tcBorders>
            <w:noWrap/>
            <w:vAlign w:val="center"/>
            <w:hideMark/>
          </w:tcPr>
          <w:p w14:paraId="609C4CC5" w14:textId="77777777" w:rsidR="00A20480" w:rsidRDefault="00A20480">
            <w:pPr>
              <w:ind w:firstLineChars="100" w:firstLine="180"/>
              <w:jc w:val="right"/>
              <w:rPr>
                <w:rFonts w:ascii="Arial" w:hAnsi="Arial" w:cs="Arial"/>
                <w:sz w:val="18"/>
                <w:szCs w:val="18"/>
              </w:rPr>
            </w:pPr>
            <w:r>
              <w:rPr>
                <w:rFonts w:ascii="Arial" w:hAnsi="Arial" w:cs="Arial"/>
                <w:sz w:val="18"/>
                <w:szCs w:val="18"/>
              </w:rPr>
              <w:t xml:space="preserve">5.000,00 </w:t>
            </w:r>
          </w:p>
        </w:tc>
      </w:tr>
      <w:tr w:rsidR="00A20480" w14:paraId="3294CACA"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3A5129B5" w14:textId="77777777" w:rsidR="00A20480" w:rsidRDefault="00A20480">
            <w:pPr>
              <w:autoSpaceDE/>
              <w:ind w:firstLineChars="100" w:firstLine="180"/>
              <w:rPr>
                <w:rFonts w:ascii="Arial" w:hAnsi="Arial" w:cs="Arial"/>
                <w:sz w:val="18"/>
                <w:szCs w:val="18"/>
              </w:rPr>
            </w:pPr>
            <w:r>
              <w:rPr>
                <w:rFonts w:ascii="Arial" w:hAnsi="Arial" w:cs="Arial"/>
                <w:sz w:val="18"/>
                <w:szCs w:val="18"/>
              </w:rPr>
              <w:t>Puertas de cocheras</w:t>
            </w:r>
          </w:p>
        </w:tc>
        <w:tc>
          <w:tcPr>
            <w:tcW w:w="1308" w:type="dxa"/>
            <w:tcBorders>
              <w:top w:val="single" w:sz="4" w:space="0" w:color="auto"/>
              <w:left w:val="nil"/>
              <w:bottom w:val="single" w:sz="4" w:space="0" w:color="auto"/>
              <w:right w:val="nil"/>
            </w:tcBorders>
            <w:noWrap/>
            <w:vAlign w:val="center"/>
            <w:hideMark/>
          </w:tcPr>
          <w:p w14:paraId="56B9D7B3" w14:textId="77777777" w:rsidR="00A20480" w:rsidRDefault="00A20480">
            <w:pPr>
              <w:autoSpaceDE/>
              <w:jc w:val="right"/>
              <w:rPr>
                <w:rFonts w:ascii="Arial" w:hAnsi="Arial" w:cs="Arial"/>
                <w:sz w:val="18"/>
                <w:szCs w:val="18"/>
              </w:rPr>
            </w:pPr>
            <w:r>
              <w:rPr>
                <w:rFonts w:ascii="Arial" w:hAnsi="Arial" w:cs="Arial"/>
                <w:sz w:val="18"/>
                <w:szCs w:val="18"/>
              </w:rPr>
              <w:t>60.000,00</w:t>
            </w:r>
          </w:p>
        </w:tc>
      </w:tr>
      <w:tr w:rsidR="00A20480" w14:paraId="33D4CAD8"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11347C48" w14:textId="77777777" w:rsidR="00A20480" w:rsidRDefault="00A20480">
            <w:pPr>
              <w:autoSpaceDE/>
              <w:ind w:firstLineChars="100" w:firstLine="180"/>
              <w:rPr>
                <w:rFonts w:ascii="Arial" w:hAnsi="Arial" w:cs="Arial"/>
                <w:sz w:val="18"/>
                <w:szCs w:val="18"/>
              </w:rPr>
            </w:pPr>
            <w:r>
              <w:rPr>
                <w:rFonts w:ascii="Arial" w:hAnsi="Arial" w:cs="Arial"/>
                <w:sz w:val="18"/>
                <w:szCs w:val="18"/>
              </w:rPr>
              <w:t xml:space="preserve">Reformas de baños </w:t>
            </w:r>
          </w:p>
        </w:tc>
        <w:tc>
          <w:tcPr>
            <w:tcW w:w="1308" w:type="dxa"/>
            <w:tcBorders>
              <w:top w:val="single" w:sz="4" w:space="0" w:color="auto"/>
              <w:left w:val="nil"/>
              <w:bottom w:val="single" w:sz="4" w:space="0" w:color="auto"/>
              <w:right w:val="nil"/>
            </w:tcBorders>
            <w:noWrap/>
            <w:vAlign w:val="center"/>
            <w:hideMark/>
          </w:tcPr>
          <w:p w14:paraId="259081EB" w14:textId="77777777" w:rsidR="00A20480" w:rsidRDefault="00A20480">
            <w:pPr>
              <w:autoSpaceDE/>
              <w:jc w:val="right"/>
              <w:rPr>
                <w:rFonts w:ascii="Arial" w:hAnsi="Arial" w:cs="Arial"/>
                <w:sz w:val="18"/>
                <w:szCs w:val="18"/>
              </w:rPr>
            </w:pPr>
            <w:r>
              <w:rPr>
                <w:rFonts w:ascii="Arial" w:hAnsi="Arial" w:cs="Arial"/>
                <w:sz w:val="18"/>
                <w:szCs w:val="18"/>
              </w:rPr>
              <w:t>10.000,00</w:t>
            </w:r>
          </w:p>
        </w:tc>
      </w:tr>
      <w:tr w:rsidR="00A20480" w14:paraId="7D3E32F2"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05769C56" w14:textId="77777777" w:rsidR="00A20480" w:rsidRDefault="00A20480">
            <w:pPr>
              <w:autoSpaceDE/>
              <w:ind w:firstLineChars="100" w:firstLine="180"/>
              <w:rPr>
                <w:rFonts w:ascii="Arial" w:hAnsi="Arial" w:cs="Arial"/>
                <w:sz w:val="18"/>
                <w:szCs w:val="18"/>
              </w:rPr>
            </w:pPr>
            <w:r>
              <w:rPr>
                <w:rFonts w:ascii="Arial" w:hAnsi="Arial" w:cs="Arial"/>
                <w:sz w:val="18"/>
                <w:szCs w:val="18"/>
              </w:rPr>
              <w:t>Redacción Proyecto y obra integral PB</w:t>
            </w:r>
          </w:p>
        </w:tc>
        <w:tc>
          <w:tcPr>
            <w:tcW w:w="1308" w:type="dxa"/>
            <w:tcBorders>
              <w:top w:val="single" w:sz="4" w:space="0" w:color="auto"/>
              <w:left w:val="nil"/>
              <w:bottom w:val="single" w:sz="4" w:space="0" w:color="auto"/>
              <w:right w:val="nil"/>
            </w:tcBorders>
            <w:noWrap/>
            <w:vAlign w:val="center"/>
            <w:hideMark/>
          </w:tcPr>
          <w:p w14:paraId="325836E1" w14:textId="77777777" w:rsidR="00A20480" w:rsidRDefault="00A20480">
            <w:pPr>
              <w:autoSpaceDE/>
              <w:jc w:val="right"/>
              <w:rPr>
                <w:rFonts w:ascii="Arial" w:hAnsi="Arial" w:cs="Arial"/>
                <w:sz w:val="18"/>
                <w:szCs w:val="18"/>
              </w:rPr>
            </w:pPr>
            <w:r>
              <w:rPr>
                <w:rFonts w:ascii="Arial" w:hAnsi="Arial" w:cs="Arial"/>
                <w:sz w:val="18"/>
                <w:szCs w:val="18"/>
              </w:rPr>
              <w:t>216.000,00</w:t>
            </w:r>
          </w:p>
        </w:tc>
      </w:tr>
      <w:tr w:rsidR="00A20480" w14:paraId="18F8C27D" w14:textId="77777777" w:rsidTr="00A20480">
        <w:trPr>
          <w:trHeight w:val="300"/>
        </w:trPr>
        <w:tc>
          <w:tcPr>
            <w:tcW w:w="7230" w:type="dxa"/>
            <w:tcBorders>
              <w:top w:val="single" w:sz="4" w:space="0" w:color="auto"/>
              <w:left w:val="nil"/>
              <w:bottom w:val="single" w:sz="2" w:space="0" w:color="auto"/>
              <w:right w:val="nil"/>
            </w:tcBorders>
            <w:noWrap/>
            <w:vAlign w:val="center"/>
            <w:hideMark/>
          </w:tcPr>
          <w:p w14:paraId="56356C9E" w14:textId="77777777" w:rsidR="00A20480" w:rsidRDefault="00A20480">
            <w:pPr>
              <w:autoSpaceDE/>
              <w:ind w:firstLineChars="100" w:firstLine="180"/>
              <w:rPr>
                <w:rFonts w:ascii="Arial" w:hAnsi="Arial" w:cs="Arial"/>
                <w:sz w:val="18"/>
                <w:szCs w:val="18"/>
              </w:rPr>
            </w:pPr>
            <w:r>
              <w:rPr>
                <w:rFonts w:ascii="Arial" w:hAnsi="Arial" w:cs="Arial"/>
                <w:sz w:val="18"/>
                <w:szCs w:val="18"/>
              </w:rPr>
              <w:t>Redacción Proyecto y obra integral PB San Miguel</w:t>
            </w:r>
          </w:p>
        </w:tc>
        <w:tc>
          <w:tcPr>
            <w:tcW w:w="1308" w:type="dxa"/>
            <w:tcBorders>
              <w:top w:val="single" w:sz="4" w:space="0" w:color="auto"/>
              <w:left w:val="nil"/>
              <w:bottom w:val="single" w:sz="2" w:space="0" w:color="auto"/>
              <w:right w:val="nil"/>
            </w:tcBorders>
            <w:noWrap/>
            <w:vAlign w:val="center"/>
            <w:hideMark/>
          </w:tcPr>
          <w:p w14:paraId="5A94C93B" w14:textId="77777777" w:rsidR="00A20480" w:rsidRDefault="00A20480">
            <w:pPr>
              <w:autoSpaceDE/>
              <w:ind w:firstLineChars="100" w:firstLine="180"/>
              <w:jc w:val="right"/>
              <w:rPr>
                <w:rFonts w:ascii="Arial" w:hAnsi="Arial" w:cs="Arial"/>
                <w:sz w:val="18"/>
                <w:szCs w:val="18"/>
              </w:rPr>
            </w:pPr>
            <w:r>
              <w:rPr>
                <w:rFonts w:ascii="Arial" w:hAnsi="Arial" w:cs="Arial"/>
                <w:sz w:val="18"/>
                <w:szCs w:val="18"/>
              </w:rPr>
              <w:t>200.000,00</w:t>
            </w:r>
          </w:p>
        </w:tc>
      </w:tr>
      <w:tr w:rsidR="00A20480" w14:paraId="3EB88C05"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1A49F806" w14:textId="77777777" w:rsidR="00A20480" w:rsidRDefault="00A20480">
            <w:pPr>
              <w:autoSpaceDE/>
              <w:ind w:firstLineChars="100" w:firstLine="180"/>
              <w:rPr>
                <w:rFonts w:ascii="Arial" w:hAnsi="Arial" w:cs="Arial"/>
                <w:sz w:val="18"/>
                <w:szCs w:val="18"/>
              </w:rPr>
            </w:pPr>
            <w:r>
              <w:rPr>
                <w:rFonts w:ascii="Arial" w:hAnsi="Arial" w:cs="Arial"/>
                <w:sz w:val="18"/>
                <w:szCs w:val="18"/>
              </w:rPr>
              <w:t>Instalación circuito aire acondicionado</w:t>
            </w:r>
          </w:p>
        </w:tc>
        <w:tc>
          <w:tcPr>
            <w:tcW w:w="1308" w:type="dxa"/>
            <w:tcBorders>
              <w:top w:val="single" w:sz="4" w:space="0" w:color="auto"/>
              <w:left w:val="nil"/>
              <w:bottom w:val="single" w:sz="4" w:space="0" w:color="auto"/>
              <w:right w:val="nil"/>
            </w:tcBorders>
            <w:noWrap/>
            <w:vAlign w:val="center"/>
            <w:hideMark/>
          </w:tcPr>
          <w:p w14:paraId="22BCC404" w14:textId="77777777" w:rsidR="00A20480" w:rsidRDefault="00A20480">
            <w:pPr>
              <w:autoSpaceDE/>
              <w:jc w:val="right"/>
              <w:rPr>
                <w:rFonts w:ascii="Arial" w:hAnsi="Arial" w:cs="Arial"/>
                <w:sz w:val="18"/>
                <w:szCs w:val="18"/>
              </w:rPr>
            </w:pPr>
            <w:r>
              <w:rPr>
                <w:rFonts w:ascii="Arial" w:hAnsi="Arial" w:cs="Arial"/>
                <w:sz w:val="18"/>
                <w:szCs w:val="18"/>
              </w:rPr>
              <w:t>15.000,00</w:t>
            </w:r>
          </w:p>
        </w:tc>
      </w:tr>
      <w:tr w:rsidR="00A20480" w14:paraId="08CA0E43"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48E068FE" w14:textId="77777777" w:rsidR="00A20480" w:rsidRDefault="00A20480">
            <w:pPr>
              <w:autoSpaceDE/>
              <w:ind w:firstLineChars="100" w:firstLine="180"/>
              <w:rPr>
                <w:rFonts w:ascii="Arial" w:hAnsi="Arial" w:cs="Arial"/>
                <w:sz w:val="18"/>
                <w:szCs w:val="18"/>
              </w:rPr>
            </w:pPr>
            <w:r>
              <w:rPr>
                <w:rFonts w:ascii="Arial" w:hAnsi="Arial" w:cs="Arial"/>
                <w:sz w:val="18"/>
                <w:szCs w:val="18"/>
              </w:rPr>
              <w:t>Reordenación PB San Miguel por Covid-19</w:t>
            </w:r>
          </w:p>
        </w:tc>
        <w:tc>
          <w:tcPr>
            <w:tcW w:w="1308" w:type="dxa"/>
            <w:tcBorders>
              <w:top w:val="single" w:sz="4" w:space="0" w:color="auto"/>
              <w:left w:val="nil"/>
              <w:bottom w:val="single" w:sz="4" w:space="0" w:color="auto"/>
              <w:right w:val="nil"/>
            </w:tcBorders>
            <w:noWrap/>
            <w:vAlign w:val="center"/>
            <w:hideMark/>
          </w:tcPr>
          <w:p w14:paraId="6428B58F" w14:textId="77777777" w:rsidR="00A20480" w:rsidRDefault="00A20480">
            <w:pPr>
              <w:autoSpaceDE/>
              <w:jc w:val="right"/>
              <w:rPr>
                <w:rFonts w:ascii="Arial" w:hAnsi="Arial" w:cs="Arial"/>
                <w:sz w:val="18"/>
                <w:szCs w:val="18"/>
              </w:rPr>
            </w:pPr>
            <w:r>
              <w:rPr>
                <w:rFonts w:ascii="Arial" w:hAnsi="Arial" w:cs="Arial"/>
                <w:sz w:val="18"/>
                <w:szCs w:val="18"/>
              </w:rPr>
              <w:t>40.000,00</w:t>
            </w:r>
          </w:p>
        </w:tc>
      </w:tr>
      <w:tr w:rsidR="00A20480" w14:paraId="003E165A"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4A91D59D" w14:textId="77777777" w:rsidR="00A20480" w:rsidRDefault="00A20480">
            <w:pPr>
              <w:autoSpaceDE/>
              <w:ind w:firstLineChars="100" w:firstLine="180"/>
              <w:rPr>
                <w:rFonts w:ascii="Arial" w:hAnsi="Arial" w:cs="Arial"/>
                <w:sz w:val="18"/>
                <w:szCs w:val="18"/>
              </w:rPr>
            </w:pPr>
            <w:r>
              <w:rPr>
                <w:rFonts w:ascii="Arial" w:hAnsi="Arial" w:cs="Arial"/>
                <w:sz w:val="18"/>
                <w:szCs w:val="18"/>
              </w:rPr>
              <w:t xml:space="preserve">Carpintería interior </w:t>
            </w:r>
          </w:p>
        </w:tc>
        <w:tc>
          <w:tcPr>
            <w:tcW w:w="1308" w:type="dxa"/>
            <w:tcBorders>
              <w:top w:val="single" w:sz="4" w:space="0" w:color="auto"/>
              <w:left w:val="nil"/>
              <w:bottom w:val="single" w:sz="4" w:space="0" w:color="auto"/>
              <w:right w:val="nil"/>
            </w:tcBorders>
            <w:noWrap/>
            <w:vAlign w:val="center"/>
            <w:hideMark/>
          </w:tcPr>
          <w:p w14:paraId="57BCC77E" w14:textId="77777777" w:rsidR="00A20480" w:rsidRDefault="00A20480">
            <w:pPr>
              <w:autoSpaceDE/>
              <w:jc w:val="right"/>
              <w:rPr>
                <w:rFonts w:ascii="Arial" w:hAnsi="Arial" w:cs="Arial"/>
                <w:sz w:val="18"/>
                <w:szCs w:val="18"/>
              </w:rPr>
            </w:pPr>
            <w:r>
              <w:rPr>
                <w:rFonts w:ascii="Arial" w:hAnsi="Arial" w:cs="Arial"/>
                <w:sz w:val="18"/>
                <w:szCs w:val="18"/>
              </w:rPr>
              <w:t>9.000,00</w:t>
            </w:r>
          </w:p>
        </w:tc>
      </w:tr>
      <w:tr w:rsidR="00A20480" w14:paraId="508EDDA2" w14:textId="77777777" w:rsidTr="00A20480">
        <w:trPr>
          <w:trHeight w:val="300"/>
        </w:trPr>
        <w:tc>
          <w:tcPr>
            <w:tcW w:w="7230" w:type="dxa"/>
            <w:tcBorders>
              <w:top w:val="single" w:sz="4" w:space="0" w:color="auto"/>
              <w:left w:val="nil"/>
              <w:bottom w:val="single" w:sz="4" w:space="0" w:color="auto"/>
              <w:right w:val="nil"/>
            </w:tcBorders>
            <w:noWrap/>
            <w:vAlign w:val="center"/>
            <w:hideMark/>
          </w:tcPr>
          <w:p w14:paraId="68EC2B8C" w14:textId="77777777" w:rsidR="00A20480" w:rsidRDefault="00A20480">
            <w:pPr>
              <w:autoSpaceDE/>
              <w:ind w:firstLineChars="100" w:firstLine="180"/>
              <w:rPr>
                <w:rFonts w:ascii="Arial" w:hAnsi="Arial" w:cs="Arial"/>
                <w:sz w:val="18"/>
                <w:szCs w:val="18"/>
              </w:rPr>
            </w:pPr>
            <w:r>
              <w:rPr>
                <w:rFonts w:ascii="Arial" w:hAnsi="Arial" w:cs="Arial"/>
                <w:sz w:val="18"/>
                <w:szCs w:val="18"/>
              </w:rPr>
              <w:t>Lamas ventanas de gimnasio</w:t>
            </w:r>
          </w:p>
        </w:tc>
        <w:tc>
          <w:tcPr>
            <w:tcW w:w="1308" w:type="dxa"/>
            <w:tcBorders>
              <w:top w:val="single" w:sz="4" w:space="0" w:color="auto"/>
              <w:left w:val="nil"/>
              <w:bottom w:val="single" w:sz="4" w:space="0" w:color="auto"/>
              <w:right w:val="nil"/>
            </w:tcBorders>
            <w:noWrap/>
            <w:vAlign w:val="center"/>
            <w:hideMark/>
          </w:tcPr>
          <w:p w14:paraId="474F842F" w14:textId="77777777" w:rsidR="00A20480" w:rsidRDefault="00A20480">
            <w:pPr>
              <w:autoSpaceDE/>
              <w:jc w:val="right"/>
              <w:rPr>
                <w:rFonts w:ascii="Arial" w:hAnsi="Arial" w:cs="Arial"/>
                <w:sz w:val="18"/>
                <w:szCs w:val="18"/>
              </w:rPr>
            </w:pPr>
            <w:r>
              <w:rPr>
                <w:rFonts w:ascii="Arial" w:hAnsi="Arial" w:cs="Arial"/>
                <w:sz w:val="18"/>
                <w:szCs w:val="18"/>
              </w:rPr>
              <w:t>3.145,80</w:t>
            </w:r>
          </w:p>
        </w:tc>
      </w:tr>
      <w:tr w:rsidR="00A20480" w14:paraId="131404F3" w14:textId="77777777" w:rsidTr="00A20480">
        <w:trPr>
          <w:trHeight w:val="315"/>
        </w:trPr>
        <w:tc>
          <w:tcPr>
            <w:tcW w:w="7230" w:type="dxa"/>
            <w:tcBorders>
              <w:top w:val="single" w:sz="4" w:space="0" w:color="auto"/>
              <w:left w:val="nil"/>
              <w:bottom w:val="single" w:sz="4" w:space="0" w:color="auto"/>
              <w:right w:val="nil"/>
            </w:tcBorders>
            <w:noWrap/>
            <w:vAlign w:val="center"/>
            <w:hideMark/>
          </w:tcPr>
          <w:p w14:paraId="13D97289" w14:textId="77777777" w:rsidR="00A20480" w:rsidRDefault="00A20480">
            <w:pPr>
              <w:autoSpaceDE/>
              <w:ind w:firstLineChars="100" w:firstLine="180"/>
              <w:rPr>
                <w:rFonts w:ascii="Arial" w:hAnsi="Arial" w:cs="Arial"/>
                <w:sz w:val="18"/>
                <w:szCs w:val="18"/>
              </w:rPr>
            </w:pPr>
            <w:r>
              <w:rPr>
                <w:rFonts w:ascii="Arial" w:hAnsi="Arial" w:cs="Arial"/>
                <w:sz w:val="18"/>
                <w:szCs w:val="18"/>
              </w:rPr>
              <w:t>Puerta estanco cochera, gimnasio y talleres</w:t>
            </w:r>
          </w:p>
        </w:tc>
        <w:tc>
          <w:tcPr>
            <w:tcW w:w="1308" w:type="dxa"/>
            <w:tcBorders>
              <w:top w:val="single" w:sz="4" w:space="0" w:color="auto"/>
              <w:left w:val="nil"/>
              <w:bottom w:val="single" w:sz="4" w:space="0" w:color="auto"/>
              <w:right w:val="nil"/>
            </w:tcBorders>
            <w:noWrap/>
            <w:vAlign w:val="center"/>
            <w:hideMark/>
          </w:tcPr>
          <w:p w14:paraId="180BADB7" w14:textId="77777777" w:rsidR="00A20480" w:rsidRDefault="00A20480">
            <w:pPr>
              <w:autoSpaceDE/>
              <w:jc w:val="right"/>
              <w:rPr>
                <w:rFonts w:ascii="Arial" w:hAnsi="Arial" w:cs="Arial"/>
                <w:sz w:val="18"/>
                <w:szCs w:val="18"/>
              </w:rPr>
            </w:pPr>
            <w:r>
              <w:rPr>
                <w:rFonts w:ascii="Arial" w:hAnsi="Arial" w:cs="Arial"/>
                <w:sz w:val="18"/>
                <w:szCs w:val="18"/>
              </w:rPr>
              <w:t>800,00</w:t>
            </w:r>
          </w:p>
        </w:tc>
      </w:tr>
      <w:tr w:rsidR="00A20480" w14:paraId="0DB1A0D5" w14:textId="77777777" w:rsidTr="00A20480">
        <w:trPr>
          <w:trHeight w:val="315"/>
        </w:trPr>
        <w:tc>
          <w:tcPr>
            <w:tcW w:w="7230" w:type="dxa"/>
            <w:tcBorders>
              <w:top w:val="single" w:sz="4" w:space="0" w:color="auto"/>
              <w:left w:val="nil"/>
              <w:bottom w:val="single" w:sz="8" w:space="0" w:color="auto"/>
              <w:right w:val="nil"/>
            </w:tcBorders>
            <w:noWrap/>
            <w:vAlign w:val="bottom"/>
            <w:hideMark/>
          </w:tcPr>
          <w:p w14:paraId="020E8BFD" w14:textId="77777777" w:rsidR="00A20480" w:rsidRDefault="00A20480">
            <w:pPr>
              <w:autoSpaceDE/>
              <w:autoSpaceDN/>
            </w:pPr>
          </w:p>
        </w:tc>
        <w:tc>
          <w:tcPr>
            <w:tcW w:w="1308" w:type="dxa"/>
            <w:tcBorders>
              <w:top w:val="single" w:sz="4" w:space="0" w:color="auto"/>
              <w:left w:val="nil"/>
              <w:bottom w:val="single" w:sz="8" w:space="0" w:color="auto"/>
              <w:right w:val="nil"/>
            </w:tcBorders>
            <w:noWrap/>
            <w:vAlign w:val="bottom"/>
            <w:hideMark/>
          </w:tcPr>
          <w:p w14:paraId="031D14BF" w14:textId="77777777" w:rsidR="00A20480" w:rsidRDefault="00A20480">
            <w:pPr>
              <w:autoSpaceDE/>
              <w:autoSpaceDN/>
            </w:pPr>
          </w:p>
        </w:tc>
      </w:tr>
      <w:tr w:rsidR="00A20480" w14:paraId="7ADB44D2" w14:textId="77777777" w:rsidTr="00A20480">
        <w:trPr>
          <w:trHeight w:val="315"/>
        </w:trPr>
        <w:tc>
          <w:tcPr>
            <w:tcW w:w="7230" w:type="dxa"/>
            <w:tcBorders>
              <w:top w:val="single" w:sz="8" w:space="0" w:color="auto"/>
              <w:left w:val="single" w:sz="8" w:space="0" w:color="auto"/>
              <w:bottom w:val="single" w:sz="8" w:space="0" w:color="auto"/>
              <w:right w:val="single" w:sz="8" w:space="0" w:color="auto"/>
            </w:tcBorders>
            <w:shd w:val="clear" w:color="auto" w:fill="DDEBF7"/>
            <w:noWrap/>
            <w:vAlign w:val="center"/>
            <w:hideMark/>
          </w:tcPr>
          <w:p w14:paraId="7273D3C1" w14:textId="77777777" w:rsidR="00A20480" w:rsidRDefault="00A20480">
            <w:pPr>
              <w:autoSpaceDE/>
              <w:jc w:val="center"/>
              <w:rPr>
                <w:rFonts w:ascii="Arial" w:hAnsi="Arial" w:cs="Arial"/>
                <w:b/>
                <w:bCs/>
              </w:rPr>
            </w:pPr>
            <w:proofErr w:type="gramStart"/>
            <w:r>
              <w:rPr>
                <w:rFonts w:ascii="Arial" w:hAnsi="Arial" w:cs="Arial"/>
                <w:b/>
                <w:bCs/>
              </w:rPr>
              <w:t>TOTAL</w:t>
            </w:r>
            <w:proofErr w:type="gramEnd"/>
            <w:r>
              <w:rPr>
                <w:rFonts w:ascii="Arial" w:hAnsi="Arial" w:cs="Arial"/>
                <w:b/>
                <w:bCs/>
              </w:rPr>
              <w:t xml:space="preserve"> INVERSION 2021</w:t>
            </w:r>
          </w:p>
        </w:tc>
        <w:tc>
          <w:tcPr>
            <w:tcW w:w="1308" w:type="dxa"/>
            <w:tcBorders>
              <w:top w:val="single" w:sz="8" w:space="0" w:color="auto"/>
              <w:left w:val="nil"/>
              <w:bottom w:val="single" w:sz="8" w:space="0" w:color="auto"/>
              <w:right w:val="single" w:sz="8" w:space="0" w:color="auto"/>
            </w:tcBorders>
            <w:shd w:val="clear" w:color="auto" w:fill="DDEBF7"/>
            <w:noWrap/>
            <w:vAlign w:val="center"/>
            <w:hideMark/>
          </w:tcPr>
          <w:p w14:paraId="608F7729" w14:textId="77777777" w:rsidR="00A20480" w:rsidRDefault="00A20480">
            <w:pPr>
              <w:autoSpaceDE/>
              <w:jc w:val="right"/>
              <w:rPr>
                <w:rFonts w:ascii="Arial" w:hAnsi="Arial" w:cs="Arial"/>
                <w:b/>
                <w:bCs/>
              </w:rPr>
            </w:pPr>
            <w:r>
              <w:rPr>
                <w:rFonts w:ascii="Arial" w:hAnsi="Arial" w:cs="Arial"/>
                <w:b/>
                <w:bCs/>
              </w:rPr>
              <w:t>1.247.735,80</w:t>
            </w:r>
          </w:p>
        </w:tc>
      </w:tr>
    </w:tbl>
    <w:p w14:paraId="48EC1FD4" w14:textId="77777777" w:rsidR="00A20480" w:rsidRDefault="00A20480" w:rsidP="00A20480">
      <w:pPr>
        <w:spacing w:before="120" w:line="300" w:lineRule="auto"/>
        <w:ind w:firstLine="709"/>
        <w:jc w:val="both"/>
        <w:rPr>
          <w:rFonts w:ascii="Calibri" w:hAnsi="Calibri" w:cs="Arial"/>
          <w:bCs/>
          <w:sz w:val="22"/>
          <w:szCs w:val="22"/>
        </w:rPr>
      </w:pPr>
    </w:p>
    <w:p w14:paraId="258DE574" w14:textId="77777777" w:rsidR="00A20480" w:rsidRDefault="00A20480" w:rsidP="00A20480">
      <w:pPr>
        <w:spacing w:before="120" w:line="300" w:lineRule="auto"/>
        <w:ind w:firstLine="709"/>
        <w:jc w:val="both"/>
        <w:rPr>
          <w:rFonts w:ascii="Calibri" w:hAnsi="Calibri" w:cs="Arial"/>
          <w:bCs/>
          <w:sz w:val="22"/>
          <w:szCs w:val="22"/>
        </w:rPr>
      </w:pPr>
      <w:r>
        <w:rPr>
          <w:rFonts w:ascii="Calibri" w:hAnsi="Calibri" w:cs="Arial"/>
          <w:bCs/>
          <w:sz w:val="22"/>
          <w:szCs w:val="22"/>
        </w:rPr>
        <w:t xml:space="preserve">El </w:t>
      </w:r>
      <w:r>
        <w:rPr>
          <w:rFonts w:ascii="Calibri" w:hAnsi="Calibri" w:cs="Arial"/>
          <w:b/>
          <w:bCs/>
          <w:sz w:val="22"/>
          <w:szCs w:val="22"/>
          <w:u w:val="single"/>
        </w:rPr>
        <w:t>Capítulo VII</w:t>
      </w:r>
      <w:r>
        <w:rPr>
          <w:rFonts w:ascii="Calibri" w:hAnsi="Calibri" w:cs="Arial"/>
          <w:bCs/>
          <w:sz w:val="22"/>
          <w:szCs w:val="22"/>
        </w:rPr>
        <w:t xml:space="preserve"> está formado únicamente por las subvenciones nominativas de capital a las Asociaciones de Bomberos Voluntarios, detalladas en el Anexo I. Este capítulo experimenta un aumento de 8.640,00 euros. </w:t>
      </w:r>
    </w:p>
    <w:p w14:paraId="4FA85A06" w14:textId="77777777" w:rsidR="00A20480" w:rsidRDefault="00A20480" w:rsidP="00A20480">
      <w:pPr>
        <w:spacing w:before="120" w:line="300" w:lineRule="auto"/>
        <w:ind w:firstLine="709"/>
        <w:jc w:val="both"/>
        <w:rPr>
          <w:rFonts w:ascii="Calibri" w:hAnsi="Calibri" w:cs="Arial"/>
          <w:bCs/>
          <w:sz w:val="22"/>
          <w:szCs w:val="22"/>
        </w:rPr>
      </w:pPr>
    </w:p>
    <w:p w14:paraId="08926B94" w14:textId="77777777" w:rsidR="00A20480" w:rsidRDefault="00A20480" w:rsidP="00A20480">
      <w:pPr>
        <w:spacing w:before="120" w:line="300" w:lineRule="auto"/>
        <w:ind w:firstLine="709"/>
        <w:jc w:val="both"/>
        <w:rPr>
          <w:rFonts w:ascii="Calibri" w:hAnsi="Calibri" w:cs="Arial"/>
          <w:bCs/>
          <w:sz w:val="22"/>
          <w:szCs w:val="22"/>
        </w:rPr>
      </w:pPr>
      <w:proofErr w:type="gramStart"/>
      <w:r>
        <w:rPr>
          <w:rFonts w:ascii="Calibri" w:hAnsi="Calibri" w:cs="Arial"/>
          <w:bCs/>
          <w:sz w:val="22"/>
          <w:szCs w:val="22"/>
        </w:rPr>
        <w:t>Y</w:t>
      </w:r>
      <w:proofErr w:type="gramEnd"/>
      <w:r>
        <w:rPr>
          <w:rFonts w:ascii="Calibri" w:hAnsi="Calibri" w:cs="Arial"/>
          <w:bCs/>
          <w:sz w:val="22"/>
          <w:szCs w:val="22"/>
        </w:rPr>
        <w:t xml:space="preserve"> por último, el </w:t>
      </w:r>
      <w:r>
        <w:rPr>
          <w:rFonts w:ascii="Calibri" w:hAnsi="Calibri" w:cs="Arial"/>
          <w:b/>
          <w:bCs/>
          <w:sz w:val="22"/>
          <w:szCs w:val="22"/>
          <w:u w:val="single"/>
        </w:rPr>
        <w:t>Capítulo VIII</w:t>
      </w:r>
      <w:r>
        <w:rPr>
          <w:rFonts w:ascii="Calibri" w:hAnsi="Calibri" w:cs="Arial"/>
          <w:bCs/>
          <w:sz w:val="22"/>
          <w:szCs w:val="22"/>
        </w:rPr>
        <w:t xml:space="preserve"> no experimenta variación alguna y solo recoge los anticipos reintegrables del personal.</w:t>
      </w:r>
    </w:p>
    <w:p w14:paraId="7435C69B" w14:textId="77777777" w:rsidR="00A20480" w:rsidRDefault="00A20480" w:rsidP="00A20480">
      <w:pPr>
        <w:spacing w:before="120" w:line="300" w:lineRule="auto"/>
        <w:ind w:firstLine="709"/>
        <w:jc w:val="both"/>
        <w:rPr>
          <w:rFonts w:ascii="Calibri" w:hAnsi="Calibri" w:cs="Arial"/>
          <w:sz w:val="22"/>
          <w:szCs w:val="22"/>
        </w:rPr>
      </w:pPr>
    </w:p>
    <w:p w14:paraId="4E113134" w14:textId="77777777" w:rsidR="00A20480" w:rsidRDefault="00A20480" w:rsidP="00A20480">
      <w:pPr>
        <w:spacing w:before="120" w:line="300" w:lineRule="auto"/>
        <w:ind w:firstLine="709"/>
        <w:jc w:val="both"/>
        <w:rPr>
          <w:rFonts w:ascii="Calibri" w:hAnsi="Calibri" w:cs="Arial"/>
          <w:sz w:val="22"/>
          <w:szCs w:val="22"/>
        </w:rPr>
      </w:pPr>
      <w:r>
        <w:rPr>
          <w:rFonts w:ascii="Calibri" w:hAnsi="Calibri" w:cs="Arial"/>
          <w:sz w:val="22"/>
          <w:szCs w:val="22"/>
        </w:rPr>
        <w:t>Como establece el artículo 165.4 del RD Legislativo 2/2004, de 5 de marzo, por el que se aprueba el texto refundido de Ley Reguladora de las Haciendas Locales, respetando así mismo el principio de estabilidad presupuestaria y sostenibilidad financiera contemplado en la Ley Orgánica 2/2012, de 27 de abril, el Presupuesto de 2021 se aprueba sin déficit inicial.</w:t>
      </w:r>
    </w:p>
    <w:p w14:paraId="04996C57" w14:textId="77777777" w:rsidR="00A20480" w:rsidRDefault="00A20480" w:rsidP="00A20480">
      <w:pPr>
        <w:spacing w:before="120" w:line="300" w:lineRule="auto"/>
        <w:ind w:firstLine="709"/>
        <w:jc w:val="both"/>
        <w:rPr>
          <w:rFonts w:ascii="Calibri" w:hAnsi="Calibri" w:cs="Arial"/>
          <w:sz w:val="22"/>
          <w:szCs w:val="22"/>
        </w:rPr>
      </w:pPr>
    </w:p>
    <w:p w14:paraId="0CDDEDEC" w14:textId="77777777" w:rsidR="00A20480" w:rsidRDefault="00A20480" w:rsidP="00A20480">
      <w:pPr>
        <w:spacing w:before="120" w:line="300" w:lineRule="auto"/>
        <w:ind w:firstLine="709"/>
        <w:jc w:val="both"/>
        <w:rPr>
          <w:rFonts w:ascii="Calibri" w:hAnsi="Calibri" w:cs="Arial"/>
          <w:sz w:val="22"/>
          <w:szCs w:val="22"/>
        </w:rPr>
      </w:pPr>
      <w:r>
        <w:rPr>
          <w:rFonts w:ascii="Calibri" w:hAnsi="Calibri" w:cs="Arial"/>
          <w:sz w:val="22"/>
          <w:szCs w:val="22"/>
        </w:rPr>
        <w:t>Por otra parte, la liquidación del Presupuesto del ejercicio 2020 se estima arrojará un remanente de tesorería positivo, por lo que no habrá que adoptar las medidas previstas en el artículo 193 de la Ley de Haciendas Locales.</w:t>
      </w:r>
    </w:p>
    <w:p w14:paraId="38FD1F92" w14:textId="77777777" w:rsidR="00A20480" w:rsidRDefault="00A20480" w:rsidP="00A20480">
      <w:pPr>
        <w:spacing w:before="120" w:line="300" w:lineRule="auto"/>
        <w:ind w:firstLine="709"/>
        <w:jc w:val="both"/>
        <w:rPr>
          <w:rFonts w:ascii="Calibri" w:hAnsi="Calibri" w:cs="Arial"/>
          <w:sz w:val="22"/>
          <w:szCs w:val="22"/>
        </w:rPr>
      </w:pPr>
    </w:p>
    <w:p w14:paraId="61B0FDA7" w14:textId="77777777" w:rsidR="00A20480" w:rsidRDefault="00A20480" w:rsidP="00A20480">
      <w:pPr>
        <w:spacing w:before="120" w:line="300" w:lineRule="auto"/>
        <w:ind w:firstLine="709"/>
        <w:jc w:val="both"/>
        <w:rPr>
          <w:rFonts w:ascii="Calibri" w:hAnsi="Calibri" w:cs="Arial"/>
          <w:sz w:val="22"/>
          <w:szCs w:val="22"/>
        </w:rPr>
      </w:pPr>
      <w:r>
        <w:rPr>
          <w:rFonts w:ascii="Calibri" w:hAnsi="Calibri" w:cs="Arial"/>
          <w:sz w:val="22"/>
          <w:szCs w:val="22"/>
        </w:rPr>
        <w:t>Se incluye en el presente Presupuesto:</w:t>
      </w:r>
    </w:p>
    <w:p w14:paraId="5DFFD2CC" w14:textId="77777777" w:rsidR="00A20480" w:rsidRDefault="00A20480" w:rsidP="00A20480">
      <w:pPr>
        <w:pStyle w:val="Prrafodelista"/>
        <w:numPr>
          <w:ilvl w:val="0"/>
          <w:numId w:val="10"/>
        </w:numPr>
        <w:spacing w:before="120" w:line="300" w:lineRule="auto"/>
        <w:jc w:val="both"/>
        <w:rPr>
          <w:rFonts w:ascii="Calibri" w:hAnsi="Calibri" w:cs="Arial"/>
          <w:sz w:val="22"/>
          <w:szCs w:val="22"/>
        </w:rPr>
      </w:pPr>
      <w:r>
        <w:rPr>
          <w:rFonts w:ascii="Calibri" w:hAnsi="Calibri" w:cs="Arial"/>
          <w:sz w:val="22"/>
          <w:szCs w:val="22"/>
        </w:rPr>
        <w:t>Memoria explicativa de su contenido y de las principales modificaciones con respecto al vigente.</w:t>
      </w:r>
    </w:p>
    <w:p w14:paraId="3A46C1DD" w14:textId="77777777" w:rsidR="00A20480" w:rsidRDefault="00A20480" w:rsidP="00A20480">
      <w:pPr>
        <w:numPr>
          <w:ilvl w:val="0"/>
          <w:numId w:val="10"/>
        </w:numPr>
        <w:adjustRightInd w:val="0"/>
        <w:spacing w:before="120" w:line="300" w:lineRule="auto"/>
        <w:jc w:val="both"/>
        <w:rPr>
          <w:rFonts w:ascii="Calibri" w:hAnsi="Calibri" w:cs="Arial"/>
          <w:sz w:val="22"/>
          <w:szCs w:val="22"/>
        </w:rPr>
      </w:pPr>
      <w:r>
        <w:rPr>
          <w:rFonts w:ascii="Calibri" w:hAnsi="Calibri" w:cs="Arial"/>
          <w:sz w:val="22"/>
          <w:szCs w:val="22"/>
        </w:rPr>
        <w:t>El informe económico-financiero en el que se expone las bases utilizadas para la evaluación de los ingresos, la suficiencia de los créditos para atender al cumplimiento de las obligaciones y la efectiva nivelación del Presupuesto.</w:t>
      </w:r>
    </w:p>
    <w:p w14:paraId="47880863" w14:textId="77777777" w:rsidR="00A20480" w:rsidRDefault="00A20480" w:rsidP="00A20480">
      <w:pPr>
        <w:numPr>
          <w:ilvl w:val="0"/>
          <w:numId w:val="10"/>
        </w:numPr>
        <w:adjustRightInd w:val="0"/>
        <w:spacing w:before="120" w:line="300" w:lineRule="auto"/>
        <w:jc w:val="both"/>
        <w:rPr>
          <w:rFonts w:ascii="Calibri" w:hAnsi="Calibri" w:cs="Arial"/>
          <w:sz w:val="22"/>
          <w:szCs w:val="22"/>
        </w:rPr>
      </w:pPr>
      <w:r>
        <w:rPr>
          <w:rFonts w:ascii="Calibri" w:hAnsi="Calibri" w:cs="Arial"/>
          <w:sz w:val="22"/>
          <w:szCs w:val="22"/>
        </w:rPr>
        <w:t>Un cuadro resumen del reparto por Municipios y demás miembros del Consorcio de las aportaciones a realizar.</w:t>
      </w:r>
    </w:p>
    <w:p w14:paraId="48B69448" w14:textId="77777777" w:rsidR="00A20480" w:rsidRDefault="00A20480" w:rsidP="00A20480">
      <w:pPr>
        <w:numPr>
          <w:ilvl w:val="0"/>
          <w:numId w:val="10"/>
        </w:numPr>
        <w:adjustRightInd w:val="0"/>
        <w:spacing w:before="120" w:line="300" w:lineRule="auto"/>
        <w:jc w:val="both"/>
        <w:rPr>
          <w:rFonts w:ascii="Calibri" w:hAnsi="Calibri" w:cs="Arial"/>
          <w:sz w:val="22"/>
          <w:szCs w:val="22"/>
        </w:rPr>
      </w:pPr>
      <w:r>
        <w:rPr>
          <w:rFonts w:ascii="Calibri" w:hAnsi="Calibri" w:cs="Arial"/>
          <w:sz w:val="22"/>
          <w:szCs w:val="22"/>
        </w:rPr>
        <w:t>Los Estados de Gastos e Ingresos.</w:t>
      </w:r>
    </w:p>
    <w:p w14:paraId="1F637197" w14:textId="77777777" w:rsidR="00A20480" w:rsidRDefault="00A20480" w:rsidP="00A20480">
      <w:pPr>
        <w:numPr>
          <w:ilvl w:val="0"/>
          <w:numId w:val="10"/>
        </w:numPr>
        <w:adjustRightInd w:val="0"/>
        <w:spacing w:before="120" w:line="300" w:lineRule="auto"/>
        <w:jc w:val="both"/>
        <w:rPr>
          <w:rFonts w:ascii="Calibri" w:hAnsi="Calibri" w:cs="Arial"/>
          <w:sz w:val="22"/>
          <w:szCs w:val="22"/>
        </w:rPr>
      </w:pPr>
      <w:r>
        <w:rPr>
          <w:rFonts w:ascii="Calibri" w:hAnsi="Calibri" w:cs="Arial"/>
          <w:sz w:val="22"/>
          <w:szCs w:val="22"/>
        </w:rPr>
        <w:t>Memoria de beneficios fiscales</w:t>
      </w:r>
    </w:p>
    <w:p w14:paraId="450962C1" w14:textId="77777777" w:rsidR="00A20480" w:rsidRDefault="00A20480" w:rsidP="00A20480">
      <w:pPr>
        <w:numPr>
          <w:ilvl w:val="0"/>
          <w:numId w:val="10"/>
        </w:numPr>
        <w:adjustRightInd w:val="0"/>
        <w:spacing w:before="120" w:line="300" w:lineRule="auto"/>
        <w:jc w:val="both"/>
        <w:rPr>
          <w:rFonts w:ascii="Calibri" w:hAnsi="Calibri" w:cs="Arial"/>
          <w:sz w:val="22"/>
          <w:szCs w:val="22"/>
        </w:rPr>
      </w:pPr>
      <w:r>
        <w:rPr>
          <w:rFonts w:ascii="Calibri" w:hAnsi="Calibri" w:cs="Arial"/>
          <w:sz w:val="22"/>
          <w:szCs w:val="22"/>
        </w:rPr>
        <w:t>Anexo de personal.</w:t>
      </w:r>
    </w:p>
    <w:p w14:paraId="141E6919" w14:textId="77777777" w:rsidR="00A20480" w:rsidRDefault="00A20480" w:rsidP="00A20480">
      <w:pPr>
        <w:numPr>
          <w:ilvl w:val="0"/>
          <w:numId w:val="10"/>
        </w:numPr>
        <w:adjustRightInd w:val="0"/>
        <w:spacing w:before="120" w:line="300" w:lineRule="auto"/>
        <w:jc w:val="both"/>
        <w:rPr>
          <w:rFonts w:ascii="Calibri" w:hAnsi="Calibri" w:cs="Arial"/>
          <w:sz w:val="22"/>
          <w:szCs w:val="22"/>
        </w:rPr>
      </w:pPr>
      <w:r>
        <w:rPr>
          <w:rFonts w:ascii="Calibri" w:hAnsi="Calibri" w:cs="Arial"/>
          <w:sz w:val="22"/>
          <w:szCs w:val="22"/>
        </w:rPr>
        <w:t>Las Bases de Ejecución Presupuestaria, en las que se contiene la adaptación de las disposiciones generales en la materia de la peculiar organización y circunstancias del Consorcio, y en las que se dictan las normas necesarias para la mejor gestión de los gastos y recaudación de los recursos propios.</w:t>
      </w:r>
    </w:p>
    <w:p w14:paraId="6DB29588" w14:textId="77777777" w:rsidR="00A20480" w:rsidRDefault="00A20480" w:rsidP="00A20480">
      <w:pPr>
        <w:numPr>
          <w:ilvl w:val="0"/>
          <w:numId w:val="10"/>
        </w:numPr>
        <w:adjustRightInd w:val="0"/>
        <w:spacing w:before="120" w:line="300" w:lineRule="auto"/>
        <w:jc w:val="both"/>
        <w:rPr>
          <w:rFonts w:ascii="Calibri" w:hAnsi="Calibri" w:cs="Arial"/>
          <w:sz w:val="22"/>
          <w:szCs w:val="22"/>
        </w:rPr>
      </w:pPr>
      <w:r>
        <w:rPr>
          <w:rFonts w:ascii="Calibri" w:hAnsi="Calibri" w:cs="Arial"/>
          <w:sz w:val="22"/>
          <w:szCs w:val="22"/>
        </w:rPr>
        <w:t>La liquidación del Presupuesto del ejercicio anterior y avance de la del                                                                             corriente.</w:t>
      </w:r>
    </w:p>
    <w:p w14:paraId="771F7E1C" w14:textId="77777777" w:rsidR="00A20480" w:rsidRDefault="00A20480" w:rsidP="00A20480">
      <w:pPr>
        <w:adjustRightInd w:val="0"/>
        <w:spacing w:before="120" w:line="300" w:lineRule="auto"/>
        <w:ind w:left="1080"/>
        <w:jc w:val="both"/>
        <w:rPr>
          <w:rFonts w:ascii="Calibri" w:hAnsi="Calibri" w:cs="Arial"/>
          <w:sz w:val="22"/>
          <w:szCs w:val="22"/>
        </w:rPr>
      </w:pPr>
    </w:p>
    <w:p w14:paraId="0E35F42E" w14:textId="77777777" w:rsidR="00A20480" w:rsidRPr="000E444A" w:rsidRDefault="00A20480" w:rsidP="009821AC">
      <w:pPr>
        <w:spacing w:before="120" w:line="300" w:lineRule="auto"/>
        <w:jc w:val="both"/>
        <w:rPr>
          <w:rFonts w:ascii="Calibri" w:hAnsi="Calibri" w:cs="Arial"/>
          <w:b/>
          <w:bCs/>
          <w:sz w:val="28"/>
          <w:szCs w:val="28"/>
        </w:rPr>
      </w:pPr>
    </w:p>
    <w:sectPr w:rsidR="00A20480" w:rsidRPr="000E444A" w:rsidSect="001B39E1">
      <w:headerReference w:type="default" r:id="rId7"/>
      <w:pgSz w:w="11906" w:h="16838"/>
      <w:pgMar w:top="212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B9A7E" w14:textId="77777777" w:rsidR="00737CC4" w:rsidRDefault="00737CC4" w:rsidP="001B39E1">
      <w:r>
        <w:separator/>
      </w:r>
    </w:p>
  </w:endnote>
  <w:endnote w:type="continuationSeparator" w:id="0">
    <w:p w14:paraId="4BAA19BE" w14:textId="77777777" w:rsidR="00737CC4" w:rsidRDefault="00737CC4" w:rsidP="001B3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553DD" w14:textId="77777777" w:rsidR="00737CC4" w:rsidRDefault="00737CC4" w:rsidP="001B39E1">
      <w:r>
        <w:separator/>
      </w:r>
    </w:p>
  </w:footnote>
  <w:footnote w:type="continuationSeparator" w:id="0">
    <w:p w14:paraId="33FAF403" w14:textId="77777777" w:rsidR="00737CC4" w:rsidRDefault="00737CC4" w:rsidP="001B3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C6BA" w14:textId="77777777" w:rsidR="001B39E1" w:rsidRDefault="001B39E1" w:rsidP="001B39E1">
    <w:pPr>
      <w:pStyle w:val="Encabezado"/>
      <w:jc w:val="center"/>
    </w:pPr>
    <w:r w:rsidRPr="001B39E1">
      <w:rPr>
        <w:noProof/>
      </w:rPr>
      <w:drawing>
        <wp:inline distT="0" distB="0" distL="0" distR="0" wp14:anchorId="0930768C" wp14:editId="2340A01E">
          <wp:extent cx="845185" cy="767715"/>
          <wp:effectExtent l="19050" t="0" r="0" b="0"/>
          <wp:docPr id="8" name="Imagen 8" descr="Escudo consorci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consorcio 2"/>
                  <pic:cNvPicPr>
                    <a:picLocks noChangeAspect="1" noChangeArrowheads="1"/>
                  </pic:cNvPicPr>
                </pic:nvPicPr>
                <pic:blipFill>
                  <a:blip r:embed="rId1"/>
                  <a:srcRect/>
                  <a:stretch>
                    <a:fillRect/>
                  </a:stretch>
                </pic:blipFill>
                <pic:spPr bwMode="auto">
                  <a:xfrm>
                    <a:off x="0" y="0"/>
                    <a:ext cx="845185" cy="7677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D870C5"/>
    <w:multiLevelType w:val="hybridMultilevel"/>
    <w:tmpl w:val="6290CE08"/>
    <w:lvl w:ilvl="0" w:tplc="7034F3CC">
      <w:start w:val="10"/>
      <w:numFmt w:val="bullet"/>
      <w:lvlText w:val="-"/>
      <w:lvlJc w:val="left"/>
      <w:pPr>
        <w:ind w:left="1069" w:hanging="360"/>
      </w:pPr>
      <w:rPr>
        <w:rFonts w:ascii="Calibri" w:eastAsia="Times New Roman" w:hAnsi="Calibri"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520673EF"/>
    <w:multiLevelType w:val="hybridMultilevel"/>
    <w:tmpl w:val="690E9F9C"/>
    <w:lvl w:ilvl="0" w:tplc="69382374">
      <w:start w:val="3"/>
      <w:numFmt w:val="bullet"/>
      <w:lvlText w:val="-"/>
      <w:lvlJc w:val="left"/>
      <w:pPr>
        <w:ind w:left="928" w:hanging="360"/>
      </w:pPr>
      <w:rPr>
        <w:rFonts w:ascii="Bookman Old Style" w:eastAsia="Times New Roman" w:hAnsi="Bookman Old Style" w:cs="Aria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2" w15:restartNumberingAfterBreak="0">
    <w:nsid w:val="55590B9E"/>
    <w:multiLevelType w:val="hybridMultilevel"/>
    <w:tmpl w:val="D610C1C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660D5183"/>
    <w:multiLevelType w:val="hybridMultilevel"/>
    <w:tmpl w:val="EB5011B6"/>
    <w:lvl w:ilvl="0" w:tplc="6CCC557C">
      <w:start w:val="1"/>
      <w:numFmt w:val="bullet"/>
      <w:lvlText w:val="-"/>
      <w:lvlJc w:val="left"/>
      <w:pPr>
        <w:tabs>
          <w:tab w:val="num" w:pos="1429"/>
        </w:tabs>
        <w:ind w:left="1429" w:hanging="360"/>
      </w:pPr>
      <w:rPr>
        <w:rFonts w:ascii="Arial" w:eastAsia="Times New Roman" w:hAnsi="Aria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784834FB"/>
    <w:multiLevelType w:val="hybridMultilevel"/>
    <w:tmpl w:val="908021B2"/>
    <w:lvl w:ilvl="0" w:tplc="096E13FC">
      <w:numFmt w:val="bullet"/>
      <w:lvlText w:val="-"/>
      <w:lvlJc w:val="left"/>
      <w:pPr>
        <w:tabs>
          <w:tab w:val="num" w:pos="1080"/>
        </w:tabs>
        <w:ind w:left="1080" w:hanging="360"/>
      </w:pPr>
      <w:rPr>
        <w:rFonts w:ascii="Arial" w:eastAsia="Times New Roman" w:hAnsi="Arial" w:hint="default"/>
        <w:color w:val="auto"/>
      </w:rPr>
    </w:lvl>
    <w:lvl w:ilvl="1" w:tplc="0C0A0003">
      <w:start w:val="1"/>
      <w:numFmt w:val="bullet"/>
      <w:lvlText w:val="o"/>
      <w:lvlJc w:val="left"/>
      <w:pPr>
        <w:tabs>
          <w:tab w:val="num" w:pos="1800"/>
        </w:tabs>
        <w:ind w:left="1800" w:hanging="360"/>
      </w:pPr>
      <w:rPr>
        <w:rFonts w:ascii="Courier New" w:hAnsi="Courier New" w:hint="default"/>
      </w:rPr>
    </w:lvl>
    <w:lvl w:ilvl="2" w:tplc="0C0A0005">
      <w:start w:val="1"/>
      <w:numFmt w:val="bullet"/>
      <w:lvlText w:val=""/>
      <w:lvlJc w:val="left"/>
      <w:pPr>
        <w:tabs>
          <w:tab w:val="num" w:pos="2520"/>
        </w:tabs>
        <w:ind w:left="2520" w:hanging="360"/>
      </w:pPr>
      <w:rPr>
        <w:rFonts w:ascii="Wingdings" w:hAnsi="Wingdings" w:hint="default"/>
      </w:rPr>
    </w:lvl>
    <w:lvl w:ilvl="3" w:tplc="0C0A0001">
      <w:start w:val="1"/>
      <w:numFmt w:val="bullet"/>
      <w:lvlText w:val=""/>
      <w:lvlJc w:val="left"/>
      <w:pPr>
        <w:tabs>
          <w:tab w:val="num" w:pos="3240"/>
        </w:tabs>
        <w:ind w:left="3240" w:hanging="360"/>
      </w:pPr>
      <w:rPr>
        <w:rFonts w:ascii="Symbol" w:hAnsi="Symbol" w:hint="default"/>
      </w:rPr>
    </w:lvl>
    <w:lvl w:ilvl="4" w:tplc="0C0A0003">
      <w:start w:val="1"/>
      <w:numFmt w:val="bullet"/>
      <w:lvlText w:val="o"/>
      <w:lvlJc w:val="left"/>
      <w:pPr>
        <w:tabs>
          <w:tab w:val="num" w:pos="3960"/>
        </w:tabs>
        <w:ind w:left="3960" w:hanging="360"/>
      </w:pPr>
      <w:rPr>
        <w:rFonts w:ascii="Courier New" w:hAnsi="Courier New" w:hint="default"/>
      </w:rPr>
    </w:lvl>
    <w:lvl w:ilvl="5" w:tplc="0C0A0005">
      <w:start w:val="1"/>
      <w:numFmt w:val="bullet"/>
      <w:lvlText w:val=""/>
      <w:lvlJc w:val="left"/>
      <w:pPr>
        <w:tabs>
          <w:tab w:val="num" w:pos="4680"/>
        </w:tabs>
        <w:ind w:left="4680" w:hanging="360"/>
      </w:pPr>
      <w:rPr>
        <w:rFonts w:ascii="Wingdings" w:hAnsi="Wingdings" w:hint="default"/>
      </w:rPr>
    </w:lvl>
    <w:lvl w:ilvl="6" w:tplc="0C0A0001">
      <w:start w:val="1"/>
      <w:numFmt w:val="bullet"/>
      <w:lvlText w:val=""/>
      <w:lvlJc w:val="left"/>
      <w:pPr>
        <w:tabs>
          <w:tab w:val="num" w:pos="5400"/>
        </w:tabs>
        <w:ind w:left="5400" w:hanging="360"/>
      </w:pPr>
      <w:rPr>
        <w:rFonts w:ascii="Symbol" w:hAnsi="Symbol" w:hint="default"/>
      </w:rPr>
    </w:lvl>
    <w:lvl w:ilvl="7" w:tplc="0C0A0003">
      <w:start w:val="1"/>
      <w:numFmt w:val="bullet"/>
      <w:lvlText w:val="o"/>
      <w:lvlJc w:val="left"/>
      <w:pPr>
        <w:tabs>
          <w:tab w:val="num" w:pos="6120"/>
        </w:tabs>
        <w:ind w:left="6120" w:hanging="360"/>
      </w:pPr>
      <w:rPr>
        <w:rFonts w:ascii="Courier New" w:hAnsi="Courier New" w:hint="default"/>
      </w:rPr>
    </w:lvl>
    <w:lvl w:ilvl="8" w:tplc="0C0A0005">
      <w:start w:val="1"/>
      <w:numFmt w:val="bullet"/>
      <w:lvlText w:val=""/>
      <w:lvlJc w:val="left"/>
      <w:pPr>
        <w:tabs>
          <w:tab w:val="num" w:pos="6840"/>
        </w:tabs>
        <w:ind w:left="6840" w:hanging="360"/>
      </w:pPr>
      <w:rPr>
        <w:rFonts w:ascii="Wingdings" w:hAnsi="Wingdings" w:hint="default"/>
      </w:rPr>
    </w:lvl>
  </w:abstractNum>
  <w:num w:numId="1" w16cid:durableId="759719693">
    <w:abstractNumId w:val="4"/>
  </w:num>
  <w:num w:numId="2" w16cid:durableId="153031439">
    <w:abstractNumId w:val="3"/>
  </w:num>
  <w:num w:numId="3" w16cid:durableId="1963805567">
    <w:abstractNumId w:val="2"/>
  </w:num>
  <w:num w:numId="4" w16cid:durableId="59715578">
    <w:abstractNumId w:val="0"/>
  </w:num>
  <w:num w:numId="5" w16cid:durableId="1801073208">
    <w:abstractNumId w:val="1"/>
  </w:num>
  <w:num w:numId="6" w16cid:durableId="109146833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509850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08413320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2206214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585000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E1"/>
    <w:rsid w:val="00061BD6"/>
    <w:rsid w:val="00144ADA"/>
    <w:rsid w:val="001B39E1"/>
    <w:rsid w:val="004972DE"/>
    <w:rsid w:val="00737CC4"/>
    <w:rsid w:val="00851067"/>
    <w:rsid w:val="008663AD"/>
    <w:rsid w:val="009821AC"/>
    <w:rsid w:val="00A20480"/>
    <w:rsid w:val="00A832A5"/>
    <w:rsid w:val="00AA0D72"/>
    <w:rsid w:val="00B76BC1"/>
    <w:rsid w:val="00B9259E"/>
    <w:rsid w:val="00C03394"/>
    <w:rsid w:val="00C50E4E"/>
    <w:rsid w:val="00DC1B7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56D88"/>
  <w15:docId w15:val="{5EFE438B-D1F7-4C12-B261-D83A44868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E1"/>
    <w:pPr>
      <w:autoSpaceDE w:val="0"/>
      <w:autoSpaceDN w:val="0"/>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B39E1"/>
    <w:pPr>
      <w:ind w:left="720"/>
      <w:contextualSpacing/>
    </w:pPr>
  </w:style>
  <w:style w:type="paragraph" w:customStyle="1" w:styleId="Default">
    <w:name w:val="Default"/>
    <w:uiPriority w:val="99"/>
    <w:rsid w:val="001B39E1"/>
    <w:pPr>
      <w:autoSpaceDE w:val="0"/>
      <w:autoSpaceDN w:val="0"/>
      <w:adjustRightInd w:val="0"/>
      <w:spacing w:after="0" w:line="240" w:lineRule="auto"/>
    </w:pPr>
    <w:rPr>
      <w:rFonts w:ascii="Times" w:eastAsia="Times New Roman" w:hAnsi="Times" w:cs="Times"/>
      <w:color w:val="000000"/>
      <w:sz w:val="24"/>
      <w:szCs w:val="24"/>
      <w:lang w:eastAsia="es-ES"/>
    </w:rPr>
  </w:style>
  <w:style w:type="paragraph" w:styleId="Encabezado">
    <w:name w:val="header"/>
    <w:basedOn w:val="Normal"/>
    <w:link w:val="EncabezadoCar"/>
    <w:uiPriority w:val="99"/>
    <w:semiHidden/>
    <w:unhideWhenUsed/>
    <w:rsid w:val="001B39E1"/>
    <w:pPr>
      <w:tabs>
        <w:tab w:val="center" w:pos="4252"/>
        <w:tab w:val="right" w:pos="8504"/>
      </w:tabs>
    </w:pPr>
  </w:style>
  <w:style w:type="character" w:customStyle="1" w:styleId="EncabezadoCar">
    <w:name w:val="Encabezado Car"/>
    <w:basedOn w:val="Fuentedeprrafopredeter"/>
    <w:link w:val="Encabezado"/>
    <w:uiPriority w:val="99"/>
    <w:semiHidden/>
    <w:rsid w:val="001B39E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1B39E1"/>
    <w:pPr>
      <w:tabs>
        <w:tab w:val="center" w:pos="4252"/>
        <w:tab w:val="right" w:pos="8504"/>
      </w:tabs>
    </w:pPr>
  </w:style>
  <w:style w:type="character" w:customStyle="1" w:styleId="PiedepginaCar">
    <w:name w:val="Pie de página Car"/>
    <w:basedOn w:val="Fuentedeprrafopredeter"/>
    <w:link w:val="Piedepgina"/>
    <w:uiPriority w:val="99"/>
    <w:semiHidden/>
    <w:rsid w:val="001B39E1"/>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1B39E1"/>
    <w:rPr>
      <w:rFonts w:ascii="Tahoma" w:hAnsi="Tahoma" w:cs="Tahoma"/>
      <w:sz w:val="16"/>
      <w:szCs w:val="16"/>
    </w:rPr>
  </w:style>
  <w:style w:type="character" w:customStyle="1" w:styleId="TextodegloboCar">
    <w:name w:val="Texto de globo Car"/>
    <w:basedOn w:val="Fuentedeprrafopredeter"/>
    <w:link w:val="Textodeglobo"/>
    <w:uiPriority w:val="99"/>
    <w:semiHidden/>
    <w:rsid w:val="001B39E1"/>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145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3200</Words>
  <Characters>17606</Characters>
  <Application>Microsoft Office Word</Application>
  <DocSecurity>0</DocSecurity>
  <Lines>146</Lines>
  <Paragraphs>41</Paragraphs>
  <ScaleCrop>false</ScaleCrop>
  <Company/>
  <LinksUpToDate>false</LinksUpToDate>
  <CharactersWithSpaces>20765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esanchez</dc:creator>
  <cp:lastModifiedBy>Informática CPEISTE</cp:lastModifiedBy>
  <cp:revision>2</cp:revision>
  <dcterms:created xsi:type="dcterms:W3CDTF">2022-06-20T13:40:00Z</dcterms:created>
  <dcterms:modified xsi:type="dcterms:W3CDTF">2022-06-20T13:40:00Z</dcterms:modified>
</cp:coreProperties>
</file>