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9" w:rsidRDefault="00F20C99" w:rsidP="00F20C99">
      <w:pPr>
        <w:pStyle w:val="Ttulo1"/>
      </w:pPr>
      <w:r w:rsidRPr="0011184C">
        <w:t>17001_ ESTADÍSTICA PARA VALORAR EL GRADO DE CUMPLIMIENTO Y CALIDAD DE LOS SERVICIOS PÚBLICOS</w:t>
      </w:r>
    </w:p>
    <w:p w:rsidR="001F1FEC" w:rsidRPr="001F1FEC" w:rsidRDefault="001F1FEC" w:rsidP="001F1FEC">
      <w:pPr>
        <w:pStyle w:val="Ttulo2"/>
      </w:pPr>
      <w:r w:rsidRPr="0011184C">
        <w:t>SERVICIOS PRESTADOS POR LOS PARQUES PROFESIONALES DEL CONSORCIO, AÑOS 2003-2018</w:t>
      </w:r>
    </w:p>
    <w:p w:rsidR="00F20C99" w:rsidRDefault="00F20C99" w:rsidP="00F20C99"/>
    <w:tbl>
      <w:tblPr>
        <w:tblW w:w="13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06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20C99" w:rsidRPr="0011184C" w:rsidTr="00F062C0">
        <w:trPr>
          <w:trHeight w:val="518"/>
        </w:trPr>
        <w:tc>
          <w:tcPr>
            <w:tcW w:w="136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r w:rsidRPr="0011184C">
              <w:t>SERVICIOS PRESTADOS POR LOS PARQUES PROFESIONALES DEL CONSORCIO, AÑOS 2003-2018</w:t>
            </w:r>
          </w:p>
        </w:tc>
      </w:tr>
      <w:tr w:rsidR="00F062C0" w:rsidRPr="0011184C" w:rsidTr="00F062C0">
        <w:trPr>
          <w:trHeight w:val="1135"/>
        </w:trPr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 xml:space="preserve">Parques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2009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 xml:space="preserve">Año 2013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62C0" w:rsidRPr="00F062C0" w:rsidRDefault="00F062C0" w:rsidP="00F062C0">
            <w:pPr>
              <w:rPr>
                <w:b/>
              </w:rPr>
            </w:pPr>
            <w:r w:rsidRPr="00F062C0">
              <w:rPr>
                <w:b/>
              </w:rPr>
              <w:t>Año 2018</w:t>
            </w:r>
          </w:p>
        </w:tc>
      </w:tr>
      <w:tr w:rsidR="00F20C99" w:rsidRPr="0011184C" w:rsidTr="00F062C0">
        <w:trPr>
          <w:trHeight w:val="60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 xml:space="preserve">Santa Cruz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2.021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2.212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2.280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1.773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1.887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1.927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1.514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1.487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1.574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1.574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1.645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1.699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1.486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1.553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1.561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1.412</w:t>
            </w:r>
          </w:p>
        </w:tc>
      </w:tr>
      <w:tr w:rsidR="00F20C99" w:rsidRPr="0011184C" w:rsidTr="00F062C0">
        <w:trPr>
          <w:trHeight w:val="54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 xml:space="preserve">La </w:t>
            </w:r>
            <w:proofErr w:type="spellStart"/>
            <w:r w:rsidRPr="00F062C0">
              <w:rPr>
                <w:b/>
              </w:rPr>
              <w:t>Orotava</w:t>
            </w:r>
            <w:proofErr w:type="spellEnd"/>
            <w:r w:rsidRPr="00F062C0">
              <w:rPr>
                <w:b/>
              </w:rPr>
              <w:t xml:space="preserve">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566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439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517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479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443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455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491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472</w:t>
            </w:r>
          </w:p>
        </w:tc>
      </w:tr>
      <w:tr w:rsidR="00F20C99" w:rsidRPr="0011184C" w:rsidTr="00F062C0">
        <w:trPr>
          <w:trHeight w:val="55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 xml:space="preserve">San Miguel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930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843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807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667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737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777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759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908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939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945</w:t>
            </w:r>
          </w:p>
        </w:tc>
      </w:tr>
      <w:tr w:rsidR="00F20C99" w:rsidRPr="0011184C" w:rsidTr="00F062C0">
        <w:trPr>
          <w:trHeight w:val="53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proofErr w:type="spellStart"/>
            <w:r w:rsidRPr="00F062C0">
              <w:rPr>
                <w:b/>
              </w:rPr>
              <w:t>Icod</w:t>
            </w:r>
            <w:proofErr w:type="spellEnd"/>
            <w:r w:rsidRPr="00F062C0">
              <w:rPr>
                <w:b/>
              </w:rPr>
              <w:t xml:space="preserve">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191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213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106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142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145</w:t>
            </w:r>
          </w:p>
        </w:tc>
      </w:tr>
      <w:tr w:rsidR="00F20C99" w:rsidRPr="0011184C" w:rsidTr="00F062C0">
        <w:trPr>
          <w:trHeight w:val="5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 xml:space="preserve">La Laguna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910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843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811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712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584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566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411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641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609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644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771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11184C" w:rsidRDefault="00F20C99" w:rsidP="00F062C0">
            <w:pPr>
              <w:jc w:val="center"/>
            </w:pPr>
            <w:r w:rsidRPr="0011184C">
              <w:t>654</w:t>
            </w:r>
          </w:p>
        </w:tc>
      </w:tr>
      <w:tr w:rsidR="00F20C99" w:rsidRPr="0011184C" w:rsidTr="00F062C0">
        <w:trPr>
          <w:trHeight w:val="53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 xml:space="preserve">Total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4.558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4.757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4.913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3.856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4.115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4.198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3.281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 xml:space="preserve">3.196 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3.187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3.567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3.616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3.678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3.544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3.661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3.946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C99" w:rsidRPr="00F062C0" w:rsidRDefault="00F20C99" w:rsidP="00F062C0">
            <w:pPr>
              <w:rPr>
                <w:b/>
              </w:rPr>
            </w:pPr>
            <w:r w:rsidRPr="00F062C0">
              <w:rPr>
                <w:b/>
              </w:rPr>
              <w:t>3.628</w:t>
            </w:r>
          </w:p>
        </w:tc>
      </w:tr>
    </w:tbl>
    <w:p w:rsidR="00F20C99" w:rsidRDefault="0011039A" w:rsidP="0011039A">
      <w:pPr>
        <w:pStyle w:val="Ttulo2"/>
      </w:pPr>
      <w:r>
        <w:lastRenderedPageBreak/>
        <w:t>G</w:t>
      </w:r>
      <w:r w:rsidR="005B7208">
        <w:t>r</w:t>
      </w:r>
      <w:r>
        <w:t>áficas por Parque de Bomberos</w:t>
      </w:r>
    </w:p>
    <w:p w:rsidR="0011039A" w:rsidRDefault="0011039A" w:rsidP="00764527">
      <w:pPr>
        <w:spacing w:before="24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6"/>
        <w:gridCol w:w="6152"/>
      </w:tblGrid>
      <w:tr w:rsidR="005B7208" w:rsidTr="001F1FEC">
        <w:tc>
          <w:tcPr>
            <w:tcW w:w="6366" w:type="dxa"/>
          </w:tcPr>
          <w:p w:rsidR="005B7208" w:rsidRDefault="0011039A">
            <w:pPr>
              <w:spacing w:after="200" w:line="276" w:lineRule="auto"/>
              <w:jc w:val="left"/>
            </w:pPr>
            <w:r>
              <w:br w:type="page"/>
            </w:r>
            <w:r w:rsidR="005B7208" w:rsidRPr="005B7208">
              <w:rPr>
                <w:noProof/>
                <w:lang w:eastAsia="es-ES"/>
              </w:rPr>
              <w:drawing>
                <wp:inline distT="0" distB="0" distL="0" distR="0">
                  <wp:extent cx="3860800" cy="2254250"/>
                  <wp:effectExtent l="19050" t="0" r="25400" b="0"/>
                  <wp:docPr id="8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152" w:type="dxa"/>
          </w:tcPr>
          <w:p w:rsidR="005B7208" w:rsidRDefault="005B7208">
            <w:pPr>
              <w:spacing w:after="200" w:line="276" w:lineRule="auto"/>
              <w:jc w:val="left"/>
            </w:pPr>
            <w:r w:rsidRPr="005B7208">
              <w:rPr>
                <w:noProof/>
                <w:lang w:eastAsia="es-ES"/>
              </w:rPr>
              <w:drawing>
                <wp:inline distT="0" distB="0" distL="0" distR="0">
                  <wp:extent cx="3581400" cy="2266950"/>
                  <wp:effectExtent l="19050" t="0" r="19050" b="0"/>
                  <wp:docPr id="9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B7208" w:rsidTr="001F1FEC">
        <w:tc>
          <w:tcPr>
            <w:tcW w:w="6366" w:type="dxa"/>
          </w:tcPr>
          <w:p w:rsidR="005B7208" w:rsidRDefault="005B7208">
            <w:pPr>
              <w:spacing w:after="200" w:line="276" w:lineRule="auto"/>
              <w:jc w:val="left"/>
            </w:pPr>
            <w:r w:rsidRPr="005B7208"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3638550" cy="2324100"/>
                  <wp:effectExtent l="19050" t="0" r="19050" b="0"/>
                  <wp:docPr id="10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152" w:type="dxa"/>
          </w:tcPr>
          <w:p w:rsidR="005B7208" w:rsidRDefault="005B7208">
            <w:pPr>
              <w:spacing w:after="200" w:line="276" w:lineRule="auto"/>
              <w:jc w:val="left"/>
            </w:pPr>
            <w:r w:rsidRPr="005B7208">
              <w:rPr>
                <w:noProof/>
                <w:lang w:eastAsia="es-ES"/>
              </w:rPr>
              <w:drawing>
                <wp:inline distT="0" distB="0" distL="0" distR="0">
                  <wp:extent cx="3295650" cy="2324100"/>
                  <wp:effectExtent l="19050" t="0" r="19050" b="0"/>
                  <wp:docPr id="11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B7208" w:rsidTr="001F1FEC">
        <w:tc>
          <w:tcPr>
            <w:tcW w:w="6366" w:type="dxa"/>
          </w:tcPr>
          <w:p w:rsidR="005B7208" w:rsidRDefault="005B7208">
            <w:pPr>
              <w:spacing w:after="200" w:line="276" w:lineRule="auto"/>
              <w:jc w:val="left"/>
            </w:pPr>
            <w:r w:rsidRPr="005B7208">
              <w:rPr>
                <w:noProof/>
                <w:lang w:eastAsia="es-ES"/>
              </w:rPr>
              <w:drawing>
                <wp:inline distT="0" distB="0" distL="0" distR="0">
                  <wp:extent cx="3638550" cy="2171700"/>
                  <wp:effectExtent l="19050" t="0" r="19050" b="0"/>
                  <wp:docPr id="12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6152" w:type="dxa"/>
          </w:tcPr>
          <w:p w:rsidR="005B7208" w:rsidRDefault="005B7208">
            <w:pPr>
              <w:spacing w:after="200" w:line="276" w:lineRule="auto"/>
              <w:jc w:val="left"/>
            </w:pPr>
          </w:p>
        </w:tc>
      </w:tr>
    </w:tbl>
    <w:p w:rsidR="0011039A" w:rsidRPr="00764527" w:rsidRDefault="0011039A" w:rsidP="00764527">
      <w:pPr>
        <w:spacing w:before="240"/>
      </w:pPr>
    </w:p>
    <w:sectPr w:rsidR="0011039A" w:rsidRPr="00764527" w:rsidSect="00F20C99">
      <w:headerReference w:type="defaul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B7" w:rsidRDefault="00713EB7" w:rsidP="00041E20">
      <w:r>
        <w:separator/>
      </w:r>
    </w:p>
  </w:endnote>
  <w:endnote w:type="continuationSeparator" w:id="1">
    <w:p w:rsidR="00713EB7" w:rsidRDefault="00713EB7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B7" w:rsidRDefault="00713EB7" w:rsidP="00041E20">
      <w:r>
        <w:separator/>
      </w:r>
    </w:p>
  </w:footnote>
  <w:footnote w:type="continuationSeparator" w:id="1">
    <w:p w:rsidR="00713EB7" w:rsidRDefault="00713EB7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B7" w:rsidRDefault="00713EB7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D0F66"/>
    <w:multiLevelType w:val="hybridMultilevel"/>
    <w:tmpl w:val="C5447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1039A"/>
    <w:rsid w:val="001A3F4D"/>
    <w:rsid w:val="001F1FEC"/>
    <w:rsid w:val="00207DF3"/>
    <w:rsid w:val="00252018"/>
    <w:rsid w:val="00263823"/>
    <w:rsid w:val="00356DE4"/>
    <w:rsid w:val="00473DF8"/>
    <w:rsid w:val="004D04AB"/>
    <w:rsid w:val="004F0FCF"/>
    <w:rsid w:val="005477B8"/>
    <w:rsid w:val="00573B6F"/>
    <w:rsid w:val="005949FE"/>
    <w:rsid w:val="005B7208"/>
    <w:rsid w:val="005F7294"/>
    <w:rsid w:val="00632714"/>
    <w:rsid w:val="0064365B"/>
    <w:rsid w:val="00662789"/>
    <w:rsid w:val="006A10F8"/>
    <w:rsid w:val="00713EB7"/>
    <w:rsid w:val="00764527"/>
    <w:rsid w:val="00824FBD"/>
    <w:rsid w:val="009676AD"/>
    <w:rsid w:val="00B06755"/>
    <w:rsid w:val="00B37EEF"/>
    <w:rsid w:val="00BB2976"/>
    <w:rsid w:val="00BE7776"/>
    <w:rsid w:val="00C05E8A"/>
    <w:rsid w:val="00C125F8"/>
    <w:rsid w:val="00D4357B"/>
    <w:rsid w:val="00F062C0"/>
    <w:rsid w:val="00F20C99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5B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4\juridico$\TRANSPARENCIA%202019\transparencia\17_ESTADISTICAS\1700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4\juridico$\TRANSPARENCIA%202019\transparencia\17_ESTADISTICAS\1700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4\juridico$\TRANSPARENCIA%202019\transparencia\17_ESTADISTICAS\1700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4\juridico$\TRANSPARENCIA%202019\transparencia\17_ESTADISTICAS\1700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4\juridico$\TRANSPARENCIA%202019\transparencia\17_ESTADISTICAS\17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Parque</a:t>
            </a:r>
            <a:r>
              <a:rPr lang="en-US" baseline="0"/>
              <a:t> de Santa Cruz</a:t>
            </a:r>
            <a:endParaRPr lang="en-US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actividades!$A$18</c:f>
              <c:strCache>
                <c:ptCount val="1"/>
                <c:pt idx="0">
                  <c:v>Servicios prestados </c:v>
                </c:pt>
              </c:strCache>
            </c:strRef>
          </c:tx>
          <c:cat>
            <c:strRef>
              <c:f>actividades!$B$16:$Q$17</c:f>
              <c:strCache>
                <c:ptCount val="16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  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</c:strCache>
            </c:strRef>
          </c:cat>
          <c:val>
            <c:numRef>
              <c:f>actividades!$B$18:$Q$18</c:f>
              <c:numCache>
                <c:formatCode>#,##0</c:formatCode>
                <c:ptCount val="16"/>
                <c:pt idx="0">
                  <c:v>2021</c:v>
                </c:pt>
                <c:pt idx="1">
                  <c:v>2212</c:v>
                </c:pt>
                <c:pt idx="2">
                  <c:v>2280</c:v>
                </c:pt>
                <c:pt idx="3">
                  <c:v>1773</c:v>
                </c:pt>
                <c:pt idx="4">
                  <c:v>1887</c:v>
                </c:pt>
                <c:pt idx="5">
                  <c:v>1927</c:v>
                </c:pt>
                <c:pt idx="6">
                  <c:v>1514</c:v>
                </c:pt>
                <c:pt idx="7" formatCode="General">
                  <c:v>1487</c:v>
                </c:pt>
                <c:pt idx="8">
                  <c:v>1574</c:v>
                </c:pt>
                <c:pt idx="9">
                  <c:v>1574</c:v>
                </c:pt>
                <c:pt idx="10">
                  <c:v>1645</c:v>
                </c:pt>
                <c:pt idx="11">
                  <c:v>1699</c:v>
                </c:pt>
                <c:pt idx="12">
                  <c:v>1486</c:v>
                </c:pt>
                <c:pt idx="13">
                  <c:v>1553</c:v>
                </c:pt>
                <c:pt idx="14">
                  <c:v>1561</c:v>
                </c:pt>
                <c:pt idx="15">
                  <c:v>1412</c:v>
                </c:pt>
              </c:numCache>
            </c:numRef>
          </c:val>
        </c:ser>
        <c:marker val="1"/>
        <c:axId val="49321088"/>
        <c:axId val="49322624"/>
      </c:lineChart>
      <c:catAx>
        <c:axId val="49321088"/>
        <c:scaling>
          <c:orientation val="minMax"/>
        </c:scaling>
        <c:axPos val="b"/>
        <c:tickLblPos val="nextTo"/>
        <c:crossAx val="49322624"/>
        <c:crosses val="autoZero"/>
        <c:auto val="1"/>
        <c:lblAlgn val="ctr"/>
        <c:lblOffset val="100"/>
      </c:catAx>
      <c:valAx>
        <c:axId val="49322624"/>
        <c:scaling>
          <c:orientation val="minMax"/>
        </c:scaling>
        <c:axPos val="l"/>
        <c:majorGridlines/>
        <c:numFmt formatCode="#,##0" sourceLinked="1"/>
        <c:tickLblPos val="nextTo"/>
        <c:crossAx val="49321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Parque de la Orotava</a:t>
            </a:r>
          </a:p>
        </c:rich>
      </c:tx>
      <c:layout>
        <c:manualLayout>
          <c:xMode val="edge"/>
          <c:yMode val="edge"/>
          <c:x val="0.26763188976377955"/>
          <c:y val="3.149606299212599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actividades!$A$23</c:f>
              <c:strCache>
                <c:ptCount val="1"/>
                <c:pt idx="0">
                  <c:v>Servicios prestados </c:v>
                </c:pt>
              </c:strCache>
            </c:strRef>
          </c:tx>
          <c:cat>
            <c:strRef>
              <c:f>actividades!$B$21:$Q$22</c:f>
              <c:strCache>
                <c:ptCount val="16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  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</c:strCache>
            </c:strRef>
          </c:cat>
          <c:val>
            <c:numRef>
              <c:f>actividades!$B$23:$Q$23</c:f>
              <c:numCache>
                <c:formatCode>General</c:formatCode>
                <c:ptCount val="16"/>
                <c:pt idx="0">
                  <c:v>566</c:v>
                </c:pt>
                <c:pt idx="1">
                  <c:v>623</c:v>
                </c:pt>
                <c:pt idx="2">
                  <c:v>612</c:v>
                </c:pt>
                <c:pt idx="3">
                  <c:v>410</c:v>
                </c:pt>
                <c:pt idx="4">
                  <c:v>439</c:v>
                </c:pt>
                <c:pt idx="5">
                  <c:v>517</c:v>
                </c:pt>
                <c:pt idx="6">
                  <c:v>429</c:v>
                </c:pt>
                <c:pt idx="7">
                  <c:v>423</c:v>
                </c:pt>
                <c:pt idx="8">
                  <c:v>402</c:v>
                </c:pt>
                <c:pt idx="9">
                  <c:v>479</c:v>
                </c:pt>
                <c:pt idx="10">
                  <c:v>443</c:v>
                </c:pt>
                <c:pt idx="11">
                  <c:v>455</c:v>
                </c:pt>
                <c:pt idx="12">
                  <c:v>469</c:v>
                </c:pt>
                <c:pt idx="13">
                  <c:v>428</c:v>
                </c:pt>
                <c:pt idx="14">
                  <c:v>491</c:v>
                </c:pt>
                <c:pt idx="15">
                  <c:v>472</c:v>
                </c:pt>
              </c:numCache>
            </c:numRef>
          </c:val>
        </c:ser>
        <c:marker val="1"/>
        <c:axId val="49343488"/>
        <c:axId val="141087488"/>
      </c:lineChart>
      <c:catAx>
        <c:axId val="49343488"/>
        <c:scaling>
          <c:orientation val="minMax"/>
        </c:scaling>
        <c:axPos val="b"/>
        <c:tickLblPos val="nextTo"/>
        <c:crossAx val="141087488"/>
        <c:crosses val="autoZero"/>
        <c:auto val="1"/>
        <c:lblAlgn val="ctr"/>
        <c:lblOffset val="100"/>
      </c:catAx>
      <c:valAx>
        <c:axId val="141087488"/>
        <c:scaling>
          <c:orientation val="minMax"/>
        </c:scaling>
        <c:axPos val="l"/>
        <c:majorGridlines/>
        <c:numFmt formatCode="General" sourceLinked="1"/>
        <c:tickLblPos val="nextTo"/>
        <c:crossAx val="49343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Parque de San</a:t>
            </a:r>
            <a:r>
              <a:rPr lang="en-US" baseline="0"/>
              <a:t> Miguel</a:t>
            </a:r>
            <a:endParaRPr lang="en-US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actividades!$A$28</c:f>
              <c:strCache>
                <c:ptCount val="1"/>
                <c:pt idx="0">
                  <c:v>Servicios prestados </c:v>
                </c:pt>
              </c:strCache>
            </c:strRef>
          </c:tx>
          <c:cat>
            <c:strRef>
              <c:f>actividades!$B$26:$Q$27</c:f>
              <c:strCache>
                <c:ptCount val="16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  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</c:strCache>
            </c:strRef>
          </c:cat>
          <c:val>
            <c:numRef>
              <c:f>actividades!$B$28:$Q$28</c:f>
              <c:numCache>
                <c:formatCode>General</c:formatCode>
                <c:ptCount val="16"/>
                <c:pt idx="0">
                  <c:v>930</c:v>
                </c:pt>
                <c:pt idx="1">
                  <c:v>843</c:v>
                </c:pt>
                <c:pt idx="2">
                  <c:v>898</c:v>
                </c:pt>
                <c:pt idx="3">
                  <c:v>830</c:v>
                </c:pt>
                <c:pt idx="4">
                  <c:v>807</c:v>
                </c:pt>
                <c:pt idx="5">
                  <c:v>871</c:v>
                </c:pt>
                <c:pt idx="6">
                  <c:v>634</c:v>
                </c:pt>
                <c:pt idx="7">
                  <c:v>604</c:v>
                </c:pt>
                <c:pt idx="8">
                  <c:v>667</c:v>
                </c:pt>
                <c:pt idx="9">
                  <c:v>737</c:v>
                </c:pt>
                <c:pt idx="10">
                  <c:v>777</c:v>
                </c:pt>
                <c:pt idx="11">
                  <c:v>759</c:v>
                </c:pt>
                <c:pt idx="12">
                  <c:v>833</c:v>
                </c:pt>
                <c:pt idx="13">
                  <c:v>908</c:v>
                </c:pt>
                <c:pt idx="14">
                  <c:v>939</c:v>
                </c:pt>
                <c:pt idx="15">
                  <c:v>945</c:v>
                </c:pt>
              </c:numCache>
            </c:numRef>
          </c:val>
        </c:ser>
        <c:marker val="1"/>
        <c:axId val="143548800"/>
        <c:axId val="143550336"/>
      </c:lineChart>
      <c:catAx>
        <c:axId val="143548800"/>
        <c:scaling>
          <c:orientation val="minMax"/>
        </c:scaling>
        <c:axPos val="b"/>
        <c:tickLblPos val="nextTo"/>
        <c:crossAx val="143550336"/>
        <c:crosses val="autoZero"/>
        <c:auto val="1"/>
        <c:lblAlgn val="ctr"/>
        <c:lblOffset val="100"/>
      </c:catAx>
      <c:valAx>
        <c:axId val="143550336"/>
        <c:scaling>
          <c:orientation val="minMax"/>
        </c:scaling>
        <c:axPos val="l"/>
        <c:majorGridlines/>
        <c:numFmt formatCode="General" sourceLinked="1"/>
        <c:tickLblPos val="nextTo"/>
        <c:crossAx val="143548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Parque de Icod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actividades!$A$33</c:f>
              <c:strCache>
                <c:ptCount val="1"/>
                <c:pt idx="0">
                  <c:v>Servicios prestados </c:v>
                </c:pt>
              </c:strCache>
            </c:strRef>
          </c:tx>
          <c:cat>
            <c:strRef>
              <c:f>actividades!$B$31:$Q$32</c:f>
              <c:strCache>
                <c:ptCount val="16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  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</c:strCache>
            </c:strRef>
          </c:cat>
          <c:val>
            <c:numRef>
              <c:f>actividades!$B$33:$Q$33</c:f>
              <c:numCache>
                <c:formatCode>General</c:formatCode>
                <c:ptCount val="16"/>
                <c:pt idx="0">
                  <c:v>156</c:v>
                </c:pt>
                <c:pt idx="1">
                  <c:v>191</c:v>
                </c:pt>
                <c:pt idx="2">
                  <c:v>213</c:v>
                </c:pt>
                <c:pt idx="3">
                  <c:v>134</c:v>
                </c:pt>
                <c:pt idx="4">
                  <c:v>171</c:v>
                </c:pt>
                <c:pt idx="5">
                  <c:v>171</c:v>
                </c:pt>
                <c:pt idx="6">
                  <c:v>106</c:v>
                </c:pt>
                <c:pt idx="7">
                  <c:v>116</c:v>
                </c:pt>
                <c:pt idx="8">
                  <c:v>133</c:v>
                </c:pt>
                <c:pt idx="9">
                  <c:v>136</c:v>
                </c:pt>
                <c:pt idx="10">
                  <c:v>142</c:v>
                </c:pt>
                <c:pt idx="11">
                  <c:v>121</c:v>
                </c:pt>
                <c:pt idx="12">
                  <c:v>128</c:v>
                </c:pt>
                <c:pt idx="13">
                  <c:v>136</c:v>
                </c:pt>
                <c:pt idx="14">
                  <c:v>184</c:v>
                </c:pt>
                <c:pt idx="15">
                  <c:v>145</c:v>
                </c:pt>
              </c:numCache>
            </c:numRef>
          </c:val>
        </c:ser>
        <c:marker val="1"/>
        <c:axId val="73467392"/>
        <c:axId val="73468928"/>
      </c:lineChart>
      <c:catAx>
        <c:axId val="73467392"/>
        <c:scaling>
          <c:orientation val="minMax"/>
        </c:scaling>
        <c:axPos val="b"/>
        <c:tickLblPos val="nextTo"/>
        <c:crossAx val="73468928"/>
        <c:crosses val="autoZero"/>
        <c:auto val="1"/>
        <c:lblAlgn val="ctr"/>
        <c:lblOffset val="100"/>
      </c:catAx>
      <c:valAx>
        <c:axId val="73468928"/>
        <c:scaling>
          <c:orientation val="minMax"/>
        </c:scaling>
        <c:axPos val="l"/>
        <c:majorGridlines/>
        <c:numFmt formatCode="General" sourceLinked="1"/>
        <c:tickLblPos val="nextTo"/>
        <c:crossAx val="734673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Parque de La Laguna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actividades!$A$38</c:f>
              <c:strCache>
                <c:ptCount val="1"/>
                <c:pt idx="0">
                  <c:v>Servicios prestados </c:v>
                </c:pt>
              </c:strCache>
            </c:strRef>
          </c:tx>
          <c:cat>
            <c:strRef>
              <c:f>actividades!$B$36:$Q$37</c:f>
              <c:strCache>
                <c:ptCount val="16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  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</c:strCache>
            </c:strRef>
          </c:cat>
          <c:val>
            <c:numRef>
              <c:f>actividades!$B$38:$Q$38</c:f>
              <c:numCache>
                <c:formatCode>General</c:formatCode>
                <c:ptCount val="16"/>
                <c:pt idx="0">
                  <c:v>885</c:v>
                </c:pt>
                <c:pt idx="1">
                  <c:v>888</c:v>
                </c:pt>
                <c:pt idx="2">
                  <c:v>910</c:v>
                </c:pt>
                <c:pt idx="3">
                  <c:v>843</c:v>
                </c:pt>
                <c:pt idx="4">
                  <c:v>811</c:v>
                </c:pt>
                <c:pt idx="5">
                  <c:v>712</c:v>
                </c:pt>
                <c:pt idx="6">
                  <c:v>584</c:v>
                </c:pt>
                <c:pt idx="7">
                  <c:v>566</c:v>
                </c:pt>
                <c:pt idx="8">
                  <c:v>411</c:v>
                </c:pt>
                <c:pt idx="9">
                  <c:v>641</c:v>
                </c:pt>
                <c:pt idx="10">
                  <c:v>609</c:v>
                </c:pt>
                <c:pt idx="11">
                  <c:v>644</c:v>
                </c:pt>
                <c:pt idx="12">
                  <c:v>628</c:v>
                </c:pt>
                <c:pt idx="13">
                  <c:v>636</c:v>
                </c:pt>
                <c:pt idx="14">
                  <c:v>771</c:v>
                </c:pt>
                <c:pt idx="15">
                  <c:v>654</c:v>
                </c:pt>
              </c:numCache>
            </c:numRef>
          </c:val>
        </c:ser>
        <c:marker val="1"/>
        <c:axId val="73489024"/>
        <c:axId val="73527680"/>
      </c:lineChart>
      <c:catAx>
        <c:axId val="73489024"/>
        <c:scaling>
          <c:orientation val="minMax"/>
        </c:scaling>
        <c:axPos val="b"/>
        <c:tickLblPos val="nextTo"/>
        <c:crossAx val="73527680"/>
        <c:crosses val="autoZero"/>
        <c:auto val="1"/>
        <c:lblAlgn val="ctr"/>
        <c:lblOffset val="100"/>
      </c:catAx>
      <c:valAx>
        <c:axId val="73527680"/>
        <c:scaling>
          <c:orientation val="minMax"/>
        </c:scaling>
        <c:axPos val="l"/>
        <c:majorGridlines/>
        <c:numFmt formatCode="General" sourceLinked="1"/>
        <c:tickLblPos val="nextTo"/>
        <c:crossAx val="734890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8</cp:revision>
  <cp:lastPrinted>2019-12-18T12:38:00Z</cp:lastPrinted>
  <dcterms:created xsi:type="dcterms:W3CDTF">2019-12-04T08:35:00Z</dcterms:created>
  <dcterms:modified xsi:type="dcterms:W3CDTF">2019-12-18T12:45:00Z</dcterms:modified>
</cp:coreProperties>
</file>